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CF" w:rsidRDefault="008D25CF" w:rsidP="002C3AF3">
      <w:pPr>
        <w:jc w:val="center"/>
        <w:rPr>
          <w:b/>
          <w:sz w:val="28"/>
        </w:rPr>
      </w:pPr>
      <w:r>
        <w:rPr>
          <w:b/>
          <w:sz w:val="28"/>
        </w:rPr>
        <w:t>Квартирный рынок Твери в</w:t>
      </w:r>
      <w:r w:rsidRPr="00A2734B">
        <w:rPr>
          <w:b/>
          <w:sz w:val="28"/>
        </w:rPr>
        <w:t xml:space="preserve"> </w:t>
      </w:r>
      <w:r>
        <w:rPr>
          <w:b/>
          <w:sz w:val="28"/>
        </w:rPr>
        <w:t xml:space="preserve">первом  квартале 2015 года. </w:t>
      </w:r>
    </w:p>
    <w:p w:rsidR="008D25CF" w:rsidRPr="00031498" w:rsidRDefault="008D25CF" w:rsidP="002C3AF3">
      <w:pPr>
        <w:rPr>
          <w:b/>
        </w:rPr>
      </w:pPr>
    </w:p>
    <w:p w:rsidR="008D25CF" w:rsidRDefault="008D25CF" w:rsidP="002C3AF3">
      <w:pPr>
        <w:shd w:val="clear" w:color="auto" w:fill="FFFFFF"/>
        <w:spacing w:after="240" w:line="270" w:lineRule="atLeast"/>
        <w:rPr>
          <w:i/>
        </w:rPr>
      </w:pPr>
      <w:r w:rsidRPr="00DA394D">
        <w:rPr>
          <w:i/>
        </w:rPr>
        <w:t xml:space="preserve">Результаты функционирования народного хозяйства в начале текущего года показали, что </w:t>
      </w:r>
      <w:r w:rsidRPr="00DA394D">
        <w:rPr>
          <w:i/>
          <w:color w:val="393838"/>
          <w:lang w:eastAsia="ru-RU"/>
        </w:rPr>
        <w:t>замедление темпов роста ВВП</w:t>
      </w:r>
      <w:r>
        <w:rPr>
          <w:i/>
          <w:color w:val="393838"/>
          <w:lang w:eastAsia="ru-RU"/>
        </w:rPr>
        <w:t xml:space="preserve">, для граждан, как </w:t>
      </w:r>
      <w:r w:rsidRPr="00DA394D">
        <w:rPr>
          <w:i/>
          <w:color w:val="393838"/>
          <w:lang w:eastAsia="ru-RU"/>
        </w:rPr>
        <w:t>предупрежда</w:t>
      </w:r>
      <w:r>
        <w:rPr>
          <w:i/>
          <w:color w:val="393838"/>
          <w:lang w:eastAsia="ru-RU"/>
        </w:rPr>
        <w:t xml:space="preserve">ли </w:t>
      </w:r>
      <w:r w:rsidRPr="00DA394D">
        <w:rPr>
          <w:i/>
          <w:color w:val="393838"/>
          <w:lang w:eastAsia="ru-RU"/>
        </w:rPr>
        <w:t>финансовые аналитики</w:t>
      </w:r>
      <w:r>
        <w:rPr>
          <w:i/>
          <w:color w:val="393838"/>
          <w:lang w:eastAsia="ru-RU"/>
        </w:rPr>
        <w:t xml:space="preserve">, сопровождается  </w:t>
      </w:r>
      <w:r w:rsidRPr="00DA394D">
        <w:rPr>
          <w:i/>
          <w:color w:val="393838"/>
          <w:lang w:eastAsia="ru-RU"/>
        </w:rPr>
        <w:t xml:space="preserve">снижением доходов, стагнированием  зарплаты, возможным ростом  безработицы. В связи с этим представляет интерес анализ поведения квартирного рынка Твери </w:t>
      </w:r>
      <w:r>
        <w:rPr>
          <w:i/>
          <w:color w:val="393838"/>
          <w:lang w:eastAsia="ru-RU"/>
        </w:rPr>
        <w:t>в</w:t>
      </w:r>
      <w:r w:rsidRPr="00DA394D">
        <w:rPr>
          <w:i/>
          <w:color w:val="393838"/>
          <w:lang w:eastAsia="ru-RU"/>
        </w:rPr>
        <w:t xml:space="preserve"> </w:t>
      </w:r>
      <w:r>
        <w:rPr>
          <w:i/>
          <w:color w:val="393838"/>
          <w:lang w:eastAsia="ru-RU"/>
        </w:rPr>
        <w:t>складывающихся условиях.</w:t>
      </w:r>
    </w:p>
    <w:p w:rsidR="008D25CF" w:rsidRDefault="008D25CF" w:rsidP="002C3AF3">
      <w:pPr>
        <w:shd w:val="clear" w:color="auto" w:fill="FFFFFF"/>
      </w:pPr>
      <w:r>
        <w:t>Разнообразие представленных на квартирном рынке Твери товаров – жилых помещений, отличающихся по размерам, качеству, местоположению и другим потребительским свойствам, достаточно велико. В этой связи показатели, характеризующие состояние квартирного рынка и в частности сложившуюся ценовую ситуацию, отличаются степенью охвата объектов рынка.</w:t>
      </w:r>
      <w:r w:rsidRPr="001E1E87">
        <w:rPr>
          <w:highlight w:val="yellow"/>
        </w:rPr>
        <w:t xml:space="preserve"> </w:t>
      </w:r>
    </w:p>
    <w:p w:rsidR="008D25CF" w:rsidRDefault="008D25CF" w:rsidP="002C3AF3">
      <w:pPr>
        <w:shd w:val="clear" w:color="auto" w:fill="FFFFFF"/>
      </w:pPr>
      <w:r w:rsidRPr="008D4454">
        <w:t>В группе компаний ТИТАН в течение многих лет ведется многопараметрический мониторинг квартирного рынка г. Твери</w:t>
      </w:r>
      <w:r>
        <w:t xml:space="preserve"> дифференцированный по двум основаниям: по качеству квартир и по их размеру, выраженному числом комнат. В зависимости от размера квартир они группируются по трем секторам: 1-о комнатные, 2-х комнатные и 3-х комнатные.</w:t>
      </w:r>
      <w:r w:rsidRPr="00135C3F">
        <w:t xml:space="preserve"> </w:t>
      </w:r>
      <w:r>
        <w:t xml:space="preserve">В каждом из них независимо от  размера  квартиры выделяются сегменты рынка квартир: низкого качества – </w:t>
      </w:r>
      <w:r w:rsidRPr="004C1106">
        <w:t>”</w:t>
      </w:r>
      <w:r>
        <w:t>сталинки, хрущевки, брежневки</w:t>
      </w:r>
      <w:r w:rsidRPr="004C1106">
        <w:t>”</w:t>
      </w:r>
      <w:r>
        <w:t xml:space="preserve">; стандартные – квартиры, в основном в блочных домах постройки 80-х годов; повышенного качества – квартиры, в современных домах, построенных по не типовым проектам. </w:t>
      </w:r>
      <w:r w:rsidRPr="00135C3F">
        <w:t>Итогом является многоуровневая система показателей состояния</w:t>
      </w:r>
      <w:r w:rsidRPr="00172150">
        <w:t xml:space="preserve"> </w:t>
      </w:r>
      <w:r>
        <w:t>рынка</w:t>
      </w:r>
      <w:r w:rsidRPr="00135C3F">
        <w:t>, обеспечивающа</w:t>
      </w:r>
      <w:r w:rsidRPr="008D4454">
        <w:t xml:space="preserve">я  широкий охват </w:t>
      </w:r>
      <w:r>
        <w:t xml:space="preserve">его </w:t>
      </w:r>
      <w:r w:rsidRPr="008D4454">
        <w:t>объектов.</w:t>
      </w:r>
    </w:p>
    <w:p w:rsidR="008D25CF" w:rsidRDefault="008D25CF" w:rsidP="002C3AF3">
      <w:pPr>
        <w:tabs>
          <w:tab w:val="left" w:pos="3405"/>
        </w:tabs>
      </w:pPr>
      <w:r>
        <w:t>Сложившаяся на квартирном рынке Твери в марте 2015 года ценовая ситуация по данным мониторингового исследования, проводимого группой компаний ТИТАН,  в разрезе секторов и сегментов рынка представлена в табл.1.</w:t>
      </w:r>
    </w:p>
    <w:p w:rsidR="008D25CF" w:rsidRDefault="008D25CF" w:rsidP="002C3AF3">
      <w:pPr>
        <w:tabs>
          <w:tab w:val="left" w:pos="3405"/>
        </w:tabs>
      </w:pPr>
    </w:p>
    <w:p w:rsidR="008D25CF" w:rsidRDefault="008D25CF" w:rsidP="002C3AF3">
      <w:pPr>
        <w:ind w:firstLine="0"/>
        <w:jc w:val="center"/>
        <w:rPr>
          <w:b/>
          <w:sz w:val="20"/>
        </w:rPr>
      </w:pPr>
      <w:r>
        <w:rPr>
          <w:b/>
          <w:sz w:val="20"/>
        </w:rPr>
        <w:t>Таблица 1. Ценовая ситуация на квартирном рынке Твери по итогам марта 2015 года</w:t>
      </w:r>
    </w:p>
    <w:tbl>
      <w:tblPr>
        <w:tblW w:w="9747" w:type="dxa"/>
        <w:tblLayout w:type="fixed"/>
        <w:tblLook w:val="0000"/>
      </w:tblPr>
      <w:tblGrid>
        <w:gridCol w:w="2271"/>
        <w:gridCol w:w="672"/>
        <w:gridCol w:w="1369"/>
        <w:gridCol w:w="1183"/>
        <w:gridCol w:w="1276"/>
        <w:gridCol w:w="992"/>
        <w:gridCol w:w="992"/>
        <w:gridCol w:w="992"/>
      </w:tblGrid>
      <w:tr w:rsidR="008D25CF" w:rsidRPr="00072D26" w:rsidTr="001D39D4">
        <w:trPr>
          <w:trHeight w:val="255"/>
        </w:trPr>
        <w:tc>
          <w:tcPr>
            <w:tcW w:w="2271" w:type="dxa"/>
            <w:tcBorders>
              <w:top w:val="single" w:sz="12"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p>
        </w:tc>
        <w:tc>
          <w:tcPr>
            <w:tcW w:w="4500" w:type="dxa"/>
            <w:gridSpan w:val="4"/>
            <w:tcBorders>
              <w:top w:val="single" w:sz="12"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 xml:space="preserve">Абсолютная цена, </w:t>
            </w:r>
            <w:r>
              <w:rPr>
                <w:b/>
                <w:sz w:val="16"/>
                <w:lang w:eastAsia="ru-RU"/>
              </w:rPr>
              <w:t xml:space="preserve"> </w:t>
            </w:r>
            <w:r w:rsidRPr="00F339BD">
              <w:rPr>
                <w:b/>
                <w:sz w:val="16"/>
                <w:lang w:eastAsia="ru-RU"/>
              </w:rPr>
              <w:t>руб.</w:t>
            </w:r>
          </w:p>
        </w:tc>
        <w:tc>
          <w:tcPr>
            <w:tcW w:w="2976" w:type="dxa"/>
            <w:gridSpan w:val="3"/>
            <w:tcBorders>
              <w:top w:val="single" w:sz="12"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Удельная цена, руб./кв.м</w:t>
            </w:r>
          </w:p>
        </w:tc>
      </w:tr>
      <w:tr w:rsidR="008D25CF" w:rsidRPr="00072D26" w:rsidTr="001D39D4">
        <w:trPr>
          <w:trHeight w:val="188"/>
        </w:trPr>
        <w:tc>
          <w:tcPr>
            <w:tcW w:w="2271" w:type="dxa"/>
            <w:tcBorders>
              <w:top w:val="single" w:sz="12"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Кол-во комнат</w:t>
            </w:r>
          </w:p>
        </w:tc>
        <w:tc>
          <w:tcPr>
            <w:tcW w:w="672" w:type="dxa"/>
            <w:tcBorders>
              <w:top w:val="single" w:sz="12" w:space="0" w:color="auto"/>
              <w:left w:val="single" w:sz="12" w:space="0" w:color="auto"/>
              <w:bottom w:val="single" w:sz="12" w:space="0" w:color="auto"/>
              <w:right w:val="single" w:sz="12" w:space="0" w:color="auto"/>
            </w:tcBorders>
            <w:shd w:val="clear" w:color="auto" w:fill="DDD9C3"/>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Кол-во</w:t>
            </w:r>
          </w:p>
        </w:tc>
        <w:tc>
          <w:tcPr>
            <w:tcW w:w="1369" w:type="dxa"/>
            <w:tcBorders>
              <w:top w:val="single" w:sz="12"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Среднее</w:t>
            </w:r>
          </w:p>
        </w:tc>
        <w:tc>
          <w:tcPr>
            <w:tcW w:w="1183" w:type="dxa"/>
            <w:tcBorders>
              <w:top w:val="single" w:sz="12"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Минимум</w:t>
            </w:r>
          </w:p>
        </w:tc>
        <w:tc>
          <w:tcPr>
            <w:tcW w:w="1276" w:type="dxa"/>
            <w:tcBorders>
              <w:top w:val="single" w:sz="4"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Максимум</w:t>
            </w:r>
          </w:p>
        </w:tc>
        <w:tc>
          <w:tcPr>
            <w:tcW w:w="992" w:type="dxa"/>
            <w:tcBorders>
              <w:top w:val="single" w:sz="12"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Средн.</w:t>
            </w:r>
          </w:p>
        </w:tc>
        <w:tc>
          <w:tcPr>
            <w:tcW w:w="992" w:type="dxa"/>
            <w:tcBorders>
              <w:top w:val="single" w:sz="12"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Миним</w:t>
            </w:r>
          </w:p>
        </w:tc>
        <w:tc>
          <w:tcPr>
            <w:tcW w:w="992" w:type="dxa"/>
            <w:tcBorders>
              <w:top w:val="single" w:sz="12" w:space="0" w:color="auto"/>
              <w:left w:val="single" w:sz="12" w:space="0" w:color="auto"/>
              <w:bottom w:val="single" w:sz="12" w:space="0" w:color="auto"/>
              <w:right w:val="single" w:sz="12" w:space="0" w:color="auto"/>
            </w:tcBorders>
            <w:shd w:val="clear" w:color="auto" w:fill="DDD9C3"/>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Макс.</w:t>
            </w:r>
          </w:p>
        </w:tc>
      </w:tr>
      <w:tr w:rsidR="008D25CF" w:rsidRPr="00072D26" w:rsidTr="001D39D4">
        <w:trPr>
          <w:trHeight w:val="284"/>
        </w:trPr>
        <w:tc>
          <w:tcPr>
            <w:tcW w:w="2271"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1-о комнатные</w:t>
            </w:r>
          </w:p>
        </w:tc>
        <w:tc>
          <w:tcPr>
            <w:tcW w:w="672" w:type="dxa"/>
            <w:tcBorders>
              <w:top w:val="single" w:sz="12" w:space="0" w:color="auto"/>
              <w:left w:val="single" w:sz="12" w:space="0" w:color="auto"/>
              <w:bottom w:val="single" w:sz="4" w:space="0" w:color="auto"/>
              <w:right w:val="single" w:sz="12" w:space="0" w:color="auto"/>
            </w:tcBorders>
            <w:shd w:val="clear" w:color="auto" w:fill="D9D9D9"/>
            <w:vAlign w:val="center"/>
          </w:tcPr>
          <w:p w:rsidR="008D25CF" w:rsidRPr="00F339BD" w:rsidRDefault="008D25CF" w:rsidP="001D39D4">
            <w:pPr>
              <w:spacing w:line="240" w:lineRule="auto"/>
              <w:ind w:firstLine="0"/>
              <w:jc w:val="center"/>
              <w:rPr>
                <w:b/>
                <w:color w:val="000000"/>
                <w:sz w:val="16"/>
                <w:lang w:eastAsia="ru-RU"/>
              </w:rPr>
            </w:pPr>
            <w:r>
              <w:rPr>
                <w:b/>
                <w:color w:val="000000"/>
                <w:sz w:val="16"/>
                <w:lang w:eastAsia="ru-RU"/>
              </w:rPr>
              <w:t>118</w:t>
            </w:r>
          </w:p>
        </w:tc>
        <w:tc>
          <w:tcPr>
            <w:tcW w:w="1369"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color w:val="000000"/>
                <w:sz w:val="16"/>
                <w:lang w:eastAsia="ru-RU"/>
              </w:rPr>
            </w:pPr>
            <w:r>
              <w:rPr>
                <w:b/>
                <w:color w:val="000000"/>
                <w:sz w:val="16"/>
                <w:lang w:eastAsia="ru-RU"/>
              </w:rPr>
              <w:t>2 059 000</w:t>
            </w:r>
          </w:p>
        </w:tc>
        <w:tc>
          <w:tcPr>
            <w:tcW w:w="1183"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1 550 000</w:t>
            </w:r>
          </w:p>
        </w:tc>
        <w:tc>
          <w:tcPr>
            <w:tcW w:w="1276"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3 100 000</w:t>
            </w:r>
          </w:p>
        </w:tc>
        <w:tc>
          <w:tcPr>
            <w:tcW w:w="992"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58 190</w:t>
            </w:r>
          </w:p>
        </w:tc>
        <w:tc>
          <w:tcPr>
            <w:tcW w:w="992"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43 420</w:t>
            </w:r>
          </w:p>
        </w:tc>
        <w:tc>
          <w:tcPr>
            <w:tcW w:w="992"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71 630</w:t>
            </w:r>
          </w:p>
        </w:tc>
      </w:tr>
      <w:tr w:rsidR="008D25CF" w:rsidRPr="00072D26" w:rsidTr="001D39D4">
        <w:trPr>
          <w:trHeight w:val="284"/>
        </w:trPr>
        <w:tc>
          <w:tcPr>
            <w:tcW w:w="2271"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Низкого качества</w:t>
            </w:r>
          </w:p>
        </w:tc>
        <w:tc>
          <w:tcPr>
            <w:tcW w:w="672" w:type="dxa"/>
            <w:tcBorders>
              <w:top w:val="single" w:sz="4" w:space="0" w:color="auto"/>
              <w:left w:val="single" w:sz="12" w:space="0" w:color="auto"/>
              <w:bottom w:val="single" w:sz="4" w:space="0" w:color="auto"/>
              <w:right w:val="single" w:sz="12" w:space="0" w:color="auto"/>
            </w:tcBorders>
            <w:vAlign w:val="bottom"/>
          </w:tcPr>
          <w:p w:rsidR="008D25CF" w:rsidRPr="00F339BD" w:rsidRDefault="008D25CF" w:rsidP="001D39D4">
            <w:pPr>
              <w:spacing w:line="240" w:lineRule="auto"/>
              <w:ind w:firstLine="0"/>
              <w:jc w:val="center"/>
              <w:rPr>
                <w:b/>
                <w:sz w:val="16"/>
                <w:lang w:eastAsia="ru-RU"/>
              </w:rPr>
            </w:pPr>
            <w:r>
              <w:rPr>
                <w:b/>
                <w:sz w:val="16"/>
                <w:lang w:eastAsia="ru-RU"/>
              </w:rPr>
              <w:t>55</w:t>
            </w:r>
          </w:p>
        </w:tc>
        <w:tc>
          <w:tcPr>
            <w:tcW w:w="1369" w:type="dxa"/>
            <w:tcBorders>
              <w:top w:val="single" w:sz="4" w:space="0" w:color="auto"/>
              <w:left w:val="single" w:sz="12" w:space="0" w:color="auto"/>
              <w:bottom w:val="single" w:sz="4" w:space="0" w:color="auto"/>
              <w:right w:val="single" w:sz="12" w:space="0" w:color="auto"/>
            </w:tcBorders>
            <w:noWrap/>
            <w:vAlign w:val="bottom"/>
          </w:tcPr>
          <w:p w:rsidR="008D25CF" w:rsidRPr="00F339BD" w:rsidRDefault="008D25CF" w:rsidP="001D39D4">
            <w:pPr>
              <w:spacing w:line="240" w:lineRule="auto"/>
              <w:ind w:firstLine="0"/>
              <w:jc w:val="center"/>
              <w:rPr>
                <w:b/>
                <w:sz w:val="16"/>
                <w:lang w:eastAsia="ru-RU"/>
              </w:rPr>
            </w:pPr>
            <w:r>
              <w:rPr>
                <w:b/>
                <w:sz w:val="16"/>
                <w:lang w:eastAsia="ru-RU"/>
              </w:rPr>
              <w:t>1 794 000</w:t>
            </w:r>
          </w:p>
        </w:tc>
        <w:tc>
          <w:tcPr>
            <w:tcW w:w="1183" w:type="dxa"/>
            <w:tcBorders>
              <w:top w:val="single" w:sz="4" w:space="0" w:color="auto"/>
              <w:left w:val="single" w:sz="12" w:space="0" w:color="auto"/>
              <w:bottom w:val="single" w:sz="4" w:space="0" w:color="auto"/>
              <w:right w:val="single" w:sz="12" w:space="0" w:color="auto"/>
            </w:tcBorders>
            <w:noWrap/>
            <w:vAlign w:val="bottom"/>
          </w:tcPr>
          <w:p w:rsidR="008D25CF" w:rsidRPr="00F339BD" w:rsidRDefault="008D25CF" w:rsidP="001D39D4">
            <w:pPr>
              <w:spacing w:line="240" w:lineRule="auto"/>
              <w:ind w:firstLine="0"/>
              <w:jc w:val="center"/>
              <w:rPr>
                <w:b/>
                <w:sz w:val="16"/>
                <w:lang w:eastAsia="ru-RU"/>
              </w:rPr>
            </w:pPr>
            <w:r>
              <w:rPr>
                <w:b/>
                <w:sz w:val="16"/>
                <w:lang w:eastAsia="ru-RU"/>
              </w:rPr>
              <w:t>1 550 000</w:t>
            </w:r>
          </w:p>
        </w:tc>
        <w:tc>
          <w:tcPr>
            <w:tcW w:w="1276" w:type="dxa"/>
            <w:tcBorders>
              <w:top w:val="single" w:sz="4" w:space="0" w:color="auto"/>
              <w:left w:val="single" w:sz="12" w:space="0" w:color="auto"/>
              <w:bottom w:val="single" w:sz="4" w:space="0" w:color="auto"/>
              <w:right w:val="single" w:sz="12" w:space="0" w:color="auto"/>
            </w:tcBorders>
            <w:noWrap/>
            <w:vAlign w:val="bottom"/>
          </w:tcPr>
          <w:p w:rsidR="008D25CF" w:rsidRPr="00F339BD" w:rsidRDefault="008D25CF" w:rsidP="001D39D4">
            <w:pPr>
              <w:spacing w:line="240" w:lineRule="auto"/>
              <w:ind w:firstLine="0"/>
              <w:jc w:val="center"/>
              <w:rPr>
                <w:b/>
                <w:sz w:val="16"/>
                <w:lang w:eastAsia="ru-RU"/>
              </w:rPr>
            </w:pPr>
            <w:r>
              <w:rPr>
                <w:b/>
                <w:sz w:val="16"/>
                <w:lang w:eastAsia="ru-RU"/>
              </w:rPr>
              <w:t>2 200 000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56 890</w:t>
            </w:r>
          </w:p>
        </w:tc>
        <w:tc>
          <w:tcPr>
            <w:tcW w:w="992" w:type="dxa"/>
            <w:tcBorders>
              <w:top w:val="single" w:sz="4" w:space="0" w:color="auto"/>
              <w:left w:val="single" w:sz="12" w:space="0" w:color="auto"/>
              <w:bottom w:val="single" w:sz="4" w:space="0" w:color="auto"/>
              <w:right w:val="single" w:sz="12" w:space="0" w:color="auto"/>
            </w:tcBorders>
            <w:noWrap/>
            <w:vAlign w:val="bottom"/>
          </w:tcPr>
          <w:p w:rsidR="008D25CF" w:rsidRPr="00F339BD" w:rsidRDefault="008D25CF" w:rsidP="001D39D4">
            <w:pPr>
              <w:spacing w:line="240" w:lineRule="auto"/>
              <w:ind w:firstLine="0"/>
              <w:jc w:val="center"/>
              <w:rPr>
                <w:b/>
                <w:sz w:val="16"/>
                <w:lang w:eastAsia="ru-RU"/>
              </w:rPr>
            </w:pPr>
            <w:r>
              <w:rPr>
                <w:b/>
                <w:sz w:val="16"/>
                <w:lang w:eastAsia="ru-RU"/>
              </w:rPr>
              <w:t>49 210</w:t>
            </w:r>
          </w:p>
        </w:tc>
        <w:tc>
          <w:tcPr>
            <w:tcW w:w="992" w:type="dxa"/>
            <w:tcBorders>
              <w:top w:val="single" w:sz="4" w:space="0" w:color="auto"/>
              <w:left w:val="single" w:sz="12" w:space="0" w:color="auto"/>
              <w:bottom w:val="single" w:sz="4" w:space="0" w:color="auto"/>
              <w:right w:val="single" w:sz="12" w:space="0" w:color="auto"/>
            </w:tcBorders>
            <w:noWrap/>
            <w:vAlign w:val="bottom"/>
          </w:tcPr>
          <w:p w:rsidR="008D25CF" w:rsidRPr="00F339BD" w:rsidRDefault="008D25CF" w:rsidP="001D39D4">
            <w:pPr>
              <w:spacing w:line="240" w:lineRule="auto"/>
              <w:ind w:firstLine="0"/>
              <w:jc w:val="center"/>
              <w:rPr>
                <w:b/>
                <w:sz w:val="16"/>
                <w:lang w:eastAsia="ru-RU"/>
              </w:rPr>
            </w:pPr>
            <w:r>
              <w:rPr>
                <w:b/>
                <w:sz w:val="16"/>
                <w:lang w:eastAsia="ru-RU"/>
              </w:rPr>
              <w:t>70 970</w:t>
            </w:r>
          </w:p>
        </w:tc>
      </w:tr>
      <w:tr w:rsidR="008D25CF" w:rsidRPr="00072D26" w:rsidTr="001D39D4">
        <w:trPr>
          <w:trHeight w:val="284"/>
        </w:trPr>
        <w:tc>
          <w:tcPr>
            <w:tcW w:w="2271"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Стандартные</w:t>
            </w:r>
          </w:p>
        </w:tc>
        <w:tc>
          <w:tcPr>
            <w:tcW w:w="672" w:type="dxa"/>
            <w:tcBorders>
              <w:top w:val="single" w:sz="4" w:space="0" w:color="auto"/>
              <w:left w:val="single" w:sz="12" w:space="0" w:color="auto"/>
              <w:bottom w:val="single" w:sz="4" w:space="0" w:color="auto"/>
              <w:right w:val="single" w:sz="12" w:space="0" w:color="auto"/>
            </w:tcBorders>
            <w:vAlign w:val="bottom"/>
          </w:tcPr>
          <w:p w:rsidR="008D25CF" w:rsidRPr="00F339BD" w:rsidRDefault="008D25CF" w:rsidP="001D39D4">
            <w:pPr>
              <w:spacing w:line="240" w:lineRule="auto"/>
              <w:ind w:firstLine="0"/>
              <w:jc w:val="center"/>
              <w:rPr>
                <w:b/>
                <w:color w:val="000000"/>
                <w:sz w:val="16"/>
                <w:lang w:eastAsia="ru-RU"/>
              </w:rPr>
            </w:pPr>
            <w:r>
              <w:rPr>
                <w:b/>
                <w:color w:val="000000"/>
                <w:sz w:val="16"/>
                <w:lang w:eastAsia="ru-RU"/>
              </w:rPr>
              <w:t>45</w:t>
            </w:r>
          </w:p>
        </w:tc>
        <w:tc>
          <w:tcPr>
            <w:tcW w:w="1369" w:type="dxa"/>
            <w:tcBorders>
              <w:top w:val="single" w:sz="4" w:space="0" w:color="auto"/>
              <w:left w:val="single" w:sz="12" w:space="0" w:color="auto"/>
              <w:bottom w:val="single" w:sz="4" w:space="0" w:color="auto"/>
              <w:right w:val="single" w:sz="12" w:space="0" w:color="auto"/>
            </w:tcBorders>
            <w:noWrap/>
            <w:vAlign w:val="bottom"/>
          </w:tcPr>
          <w:p w:rsidR="008D25CF" w:rsidRPr="00F339BD" w:rsidRDefault="008D25CF" w:rsidP="001D39D4">
            <w:pPr>
              <w:spacing w:line="240" w:lineRule="auto"/>
              <w:ind w:firstLine="0"/>
              <w:jc w:val="center"/>
              <w:rPr>
                <w:b/>
                <w:color w:val="000000"/>
                <w:sz w:val="16"/>
                <w:lang w:eastAsia="ru-RU"/>
              </w:rPr>
            </w:pPr>
            <w:r>
              <w:rPr>
                <w:b/>
                <w:color w:val="000000"/>
                <w:sz w:val="16"/>
                <w:lang w:eastAsia="ru-RU"/>
              </w:rPr>
              <w:t>2 130 000</w:t>
            </w:r>
          </w:p>
        </w:tc>
        <w:tc>
          <w:tcPr>
            <w:tcW w:w="1183"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1 650 000</w:t>
            </w:r>
          </w:p>
        </w:tc>
        <w:tc>
          <w:tcPr>
            <w:tcW w:w="1276"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2 600 000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58 370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43 420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71 630</w:t>
            </w:r>
          </w:p>
        </w:tc>
      </w:tr>
      <w:tr w:rsidR="008D25CF" w:rsidRPr="00072D26" w:rsidTr="001D39D4">
        <w:trPr>
          <w:trHeight w:val="284"/>
        </w:trPr>
        <w:tc>
          <w:tcPr>
            <w:tcW w:w="2271"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Повышенного качества</w:t>
            </w:r>
          </w:p>
        </w:tc>
        <w:tc>
          <w:tcPr>
            <w:tcW w:w="672" w:type="dxa"/>
            <w:tcBorders>
              <w:top w:val="single" w:sz="4" w:space="0" w:color="auto"/>
              <w:left w:val="single" w:sz="12" w:space="0" w:color="auto"/>
              <w:bottom w:val="single" w:sz="12" w:space="0" w:color="auto"/>
              <w:right w:val="single" w:sz="12" w:space="0" w:color="auto"/>
            </w:tcBorders>
            <w:vAlign w:val="center"/>
          </w:tcPr>
          <w:p w:rsidR="008D25CF" w:rsidRPr="00F339BD" w:rsidRDefault="008D25CF" w:rsidP="001D39D4">
            <w:pPr>
              <w:spacing w:line="240" w:lineRule="auto"/>
              <w:ind w:firstLine="0"/>
              <w:jc w:val="center"/>
              <w:rPr>
                <w:b/>
                <w:color w:val="000000"/>
                <w:sz w:val="16"/>
                <w:lang w:eastAsia="ru-RU"/>
              </w:rPr>
            </w:pPr>
            <w:r>
              <w:rPr>
                <w:b/>
                <w:color w:val="000000"/>
                <w:sz w:val="16"/>
                <w:lang w:eastAsia="ru-RU"/>
              </w:rPr>
              <w:t>18</w:t>
            </w:r>
          </w:p>
        </w:tc>
        <w:tc>
          <w:tcPr>
            <w:tcW w:w="1369"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2 756 000</w:t>
            </w:r>
          </w:p>
        </w:tc>
        <w:tc>
          <w:tcPr>
            <w:tcW w:w="1183"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2 350 000</w:t>
            </w:r>
          </w:p>
        </w:tc>
        <w:tc>
          <w:tcPr>
            <w:tcW w:w="1276"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3 100 000</w:t>
            </w:r>
          </w:p>
        </w:tc>
        <w:tc>
          <w:tcPr>
            <w:tcW w:w="992"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61 730</w:t>
            </w:r>
          </w:p>
        </w:tc>
        <w:tc>
          <w:tcPr>
            <w:tcW w:w="992"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51 540</w:t>
            </w:r>
          </w:p>
        </w:tc>
        <w:tc>
          <w:tcPr>
            <w:tcW w:w="992"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70 030</w:t>
            </w:r>
          </w:p>
        </w:tc>
      </w:tr>
      <w:tr w:rsidR="008D25CF" w:rsidRPr="00072D26" w:rsidTr="001D39D4">
        <w:trPr>
          <w:trHeight w:val="284"/>
        </w:trPr>
        <w:tc>
          <w:tcPr>
            <w:tcW w:w="2271"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2-х комнатные</w:t>
            </w:r>
          </w:p>
        </w:tc>
        <w:tc>
          <w:tcPr>
            <w:tcW w:w="672" w:type="dxa"/>
            <w:tcBorders>
              <w:top w:val="single" w:sz="12" w:space="0" w:color="auto"/>
              <w:left w:val="single" w:sz="12" w:space="0" w:color="auto"/>
              <w:bottom w:val="single" w:sz="4" w:space="0" w:color="auto"/>
              <w:right w:val="single" w:sz="12" w:space="0" w:color="auto"/>
            </w:tcBorders>
            <w:shd w:val="clear" w:color="auto" w:fill="D9D9D9"/>
            <w:vAlign w:val="center"/>
          </w:tcPr>
          <w:p w:rsidR="008D25CF" w:rsidRPr="00F339BD" w:rsidRDefault="008D25CF" w:rsidP="001D39D4">
            <w:pPr>
              <w:spacing w:line="240" w:lineRule="auto"/>
              <w:ind w:firstLine="0"/>
              <w:jc w:val="center"/>
              <w:rPr>
                <w:b/>
                <w:sz w:val="16"/>
                <w:lang w:eastAsia="ru-RU"/>
              </w:rPr>
            </w:pPr>
            <w:r>
              <w:rPr>
                <w:b/>
                <w:sz w:val="16"/>
                <w:lang w:eastAsia="ru-RU"/>
              </w:rPr>
              <w:t>137</w:t>
            </w:r>
          </w:p>
        </w:tc>
        <w:tc>
          <w:tcPr>
            <w:tcW w:w="1369"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2 847 000</w:t>
            </w:r>
          </w:p>
        </w:tc>
        <w:tc>
          <w:tcPr>
            <w:tcW w:w="1183"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1 450 000</w:t>
            </w:r>
          </w:p>
        </w:tc>
        <w:tc>
          <w:tcPr>
            <w:tcW w:w="1276"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4 990 000</w:t>
            </w:r>
          </w:p>
        </w:tc>
        <w:tc>
          <w:tcPr>
            <w:tcW w:w="992"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53 180</w:t>
            </w:r>
          </w:p>
        </w:tc>
        <w:tc>
          <w:tcPr>
            <w:tcW w:w="992"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30 210</w:t>
            </w:r>
          </w:p>
        </w:tc>
        <w:tc>
          <w:tcPr>
            <w:tcW w:w="992"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73 770</w:t>
            </w:r>
          </w:p>
        </w:tc>
      </w:tr>
      <w:tr w:rsidR="008D25CF" w:rsidRPr="00072D26" w:rsidTr="001D39D4">
        <w:trPr>
          <w:trHeight w:val="284"/>
        </w:trPr>
        <w:tc>
          <w:tcPr>
            <w:tcW w:w="2271"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Низкого качества</w:t>
            </w:r>
          </w:p>
        </w:tc>
        <w:tc>
          <w:tcPr>
            <w:tcW w:w="672" w:type="dxa"/>
            <w:tcBorders>
              <w:top w:val="single" w:sz="4" w:space="0" w:color="auto"/>
              <w:left w:val="single" w:sz="12" w:space="0" w:color="auto"/>
              <w:bottom w:val="single" w:sz="4" w:space="0" w:color="auto"/>
              <w:right w:val="single" w:sz="12" w:space="0" w:color="auto"/>
            </w:tcBorders>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62</w:t>
            </w:r>
          </w:p>
        </w:tc>
        <w:tc>
          <w:tcPr>
            <w:tcW w:w="1369"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color w:val="000000"/>
                <w:sz w:val="16"/>
                <w:lang w:eastAsia="ru-RU"/>
              </w:rPr>
            </w:pPr>
            <w:r>
              <w:rPr>
                <w:b/>
                <w:color w:val="000000"/>
                <w:sz w:val="16"/>
                <w:lang w:eastAsia="ru-RU"/>
              </w:rPr>
              <w:t>2 250 000</w:t>
            </w:r>
          </w:p>
        </w:tc>
        <w:tc>
          <w:tcPr>
            <w:tcW w:w="1183"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1 450 000</w:t>
            </w:r>
          </w:p>
        </w:tc>
        <w:tc>
          <w:tcPr>
            <w:tcW w:w="1276"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3 150 000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50 105</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30 210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65 000</w:t>
            </w:r>
          </w:p>
        </w:tc>
      </w:tr>
      <w:tr w:rsidR="008D25CF" w:rsidRPr="00072D26" w:rsidTr="001D39D4">
        <w:trPr>
          <w:trHeight w:val="284"/>
        </w:trPr>
        <w:tc>
          <w:tcPr>
            <w:tcW w:w="2271"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Стандартные</w:t>
            </w:r>
          </w:p>
        </w:tc>
        <w:tc>
          <w:tcPr>
            <w:tcW w:w="672" w:type="dxa"/>
            <w:tcBorders>
              <w:top w:val="single" w:sz="4" w:space="0" w:color="auto"/>
              <w:left w:val="single" w:sz="12" w:space="0" w:color="auto"/>
              <w:bottom w:val="single" w:sz="4" w:space="0" w:color="auto"/>
              <w:right w:val="single" w:sz="12" w:space="0" w:color="auto"/>
            </w:tcBorders>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38</w:t>
            </w:r>
          </w:p>
        </w:tc>
        <w:tc>
          <w:tcPr>
            <w:tcW w:w="1369" w:type="dxa"/>
            <w:tcBorders>
              <w:top w:val="single" w:sz="4" w:space="0" w:color="auto"/>
              <w:left w:val="single" w:sz="12" w:space="0" w:color="auto"/>
              <w:bottom w:val="single" w:sz="4" w:space="0" w:color="auto"/>
              <w:right w:val="single" w:sz="12" w:space="0" w:color="auto"/>
            </w:tcBorders>
            <w:noWrap/>
            <w:vAlign w:val="bottom"/>
          </w:tcPr>
          <w:p w:rsidR="008D25CF" w:rsidRPr="00F339BD" w:rsidRDefault="008D25CF" w:rsidP="001D39D4">
            <w:pPr>
              <w:spacing w:line="240" w:lineRule="auto"/>
              <w:ind w:firstLine="0"/>
              <w:jc w:val="center"/>
              <w:rPr>
                <w:b/>
                <w:sz w:val="16"/>
                <w:lang w:eastAsia="ru-RU"/>
              </w:rPr>
            </w:pPr>
            <w:r>
              <w:rPr>
                <w:b/>
                <w:sz w:val="16"/>
                <w:lang w:eastAsia="ru-RU"/>
              </w:rPr>
              <w:t>2 788 000</w:t>
            </w:r>
          </w:p>
        </w:tc>
        <w:tc>
          <w:tcPr>
            <w:tcW w:w="1183"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1 900 000</w:t>
            </w:r>
          </w:p>
        </w:tc>
        <w:tc>
          <w:tcPr>
            <w:tcW w:w="1276"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3 400 000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 xml:space="preserve"> 53 490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39 580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68 370</w:t>
            </w:r>
          </w:p>
        </w:tc>
      </w:tr>
      <w:tr w:rsidR="008D25CF" w:rsidRPr="00072D26" w:rsidTr="001D39D4">
        <w:trPr>
          <w:trHeight w:val="284"/>
        </w:trPr>
        <w:tc>
          <w:tcPr>
            <w:tcW w:w="2271"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Повышенного качества</w:t>
            </w:r>
          </w:p>
        </w:tc>
        <w:tc>
          <w:tcPr>
            <w:tcW w:w="672" w:type="dxa"/>
            <w:tcBorders>
              <w:top w:val="single" w:sz="4" w:space="0" w:color="auto"/>
              <w:left w:val="single" w:sz="12" w:space="0" w:color="auto"/>
              <w:bottom w:val="single" w:sz="12" w:space="0" w:color="auto"/>
              <w:right w:val="single" w:sz="12" w:space="0" w:color="auto"/>
            </w:tcBorders>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37</w:t>
            </w:r>
          </w:p>
        </w:tc>
        <w:tc>
          <w:tcPr>
            <w:tcW w:w="1369"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pacing w:line="240" w:lineRule="auto"/>
              <w:ind w:firstLine="0"/>
              <w:jc w:val="center"/>
              <w:rPr>
                <w:b/>
                <w:color w:val="000000"/>
                <w:sz w:val="16"/>
                <w:lang w:eastAsia="ru-RU"/>
              </w:rPr>
            </w:pPr>
            <w:r>
              <w:rPr>
                <w:b/>
                <w:color w:val="000000"/>
                <w:sz w:val="16"/>
                <w:lang w:eastAsia="ru-RU"/>
              </w:rPr>
              <w:t>3 908 000</w:t>
            </w:r>
          </w:p>
        </w:tc>
        <w:tc>
          <w:tcPr>
            <w:tcW w:w="1183"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2 730 000</w:t>
            </w:r>
          </w:p>
        </w:tc>
        <w:tc>
          <w:tcPr>
            <w:tcW w:w="1276"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4 990 000</w:t>
            </w:r>
          </w:p>
        </w:tc>
        <w:tc>
          <w:tcPr>
            <w:tcW w:w="992"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58 020</w:t>
            </w:r>
          </w:p>
        </w:tc>
        <w:tc>
          <w:tcPr>
            <w:tcW w:w="992"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37 330</w:t>
            </w:r>
          </w:p>
        </w:tc>
        <w:tc>
          <w:tcPr>
            <w:tcW w:w="992"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pacing w:line="240" w:lineRule="auto"/>
              <w:ind w:firstLine="0"/>
              <w:jc w:val="center"/>
              <w:rPr>
                <w:b/>
                <w:sz w:val="16"/>
                <w:lang w:eastAsia="ru-RU"/>
              </w:rPr>
            </w:pPr>
            <w:r>
              <w:rPr>
                <w:b/>
                <w:sz w:val="16"/>
                <w:lang w:eastAsia="ru-RU"/>
              </w:rPr>
              <w:t>73 770</w:t>
            </w:r>
          </w:p>
        </w:tc>
      </w:tr>
      <w:tr w:rsidR="008D25CF" w:rsidRPr="00072D26" w:rsidTr="001D39D4">
        <w:trPr>
          <w:trHeight w:val="284"/>
        </w:trPr>
        <w:tc>
          <w:tcPr>
            <w:tcW w:w="2271"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3-х комнатные</w:t>
            </w:r>
          </w:p>
        </w:tc>
        <w:tc>
          <w:tcPr>
            <w:tcW w:w="672" w:type="dxa"/>
            <w:tcBorders>
              <w:top w:val="single" w:sz="12" w:space="0" w:color="auto"/>
              <w:left w:val="single" w:sz="12" w:space="0" w:color="auto"/>
              <w:bottom w:val="single" w:sz="4" w:space="0" w:color="auto"/>
              <w:right w:val="single" w:sz="12" w:space="0" w:color="auto"/>
            </w:tcBorders>
            <w:shd w:val="clear" w:color="auto" w:fill="D9D9D9"/>
            <w:vAlign w:val="center"/>
          </w:tcPr>
          <w:p w:rsidR="008D25CF" w:rsidRPr="00F339BD" w:rsidRDefault="008D25CF" w:rsidP="001D39D4">
            <w:pPr>
              <w:spacing w:line="240" w:lineRule="auto"/>
              <w:ind w:firstLine="0"/>
              <w:jc w:val="center"/>
              <w:rPr>
                <w:b/>
                <w:color w:val="000000"/>
                <w:sz w:val="16"/>
                <w:lang w:eastAsia="ru-RU"/>
              </w:rPr>
            </w:pPr>
            <w:r>
              <w:rPr>
                <w:b/>
                <w:color w:val="000000"/>
                <w:sz w:val="16"/>
                <w:lang w:eastAsia="ru-RU"/>
              </w:rPr>
              <w:t>107</w:t>
            </w:r>
          </w:p>
        </w:tc>
        <w:tc>
          <w:tcPr>
            <w:tcW w:w="1369" w:type="dxa"/>
            <w:tcBorders>
              <w:top w:val="single" w:sz="12" w:space="0" w:color="auto"/>
              <w:left w:val="single" w:sz="12" w:space="0" w:color="auto"/>
              <w:bottom w:val="single" w:sz="4" w:space="0" w:color="auto"/>
              <w:right w:val="single" w:sz="12" w:space="0" w:color="auto"/>
            </w:tcBorders>
            <w:shd w:val="clear" w:color="auto" w:fill="D9D9D9"/>
            <w:noWrap/>
            <w:vAlign w:val="bottom"/>
          </w:tcPr>
          <w:p w:rsidR="008D25CF" w:rsidRPr="00F339BD" w:rsidRDefault="008D25CF" w:rsidP="001D39D4">
            <w:pPr>
              <w:spacing w:line="240" w:lineRule="auto"/>
              <w:ind w:firstLine="0"/>
              <w:jc w:val="center"/>
              <w:rPr>
                <w:b/>
                <w:color w:val="000000"/>
                <w:sz w:val="16"/>
                <w:lang w:eastAsia="ru-RU"/>
              </w:rPr>
            </w:pPr>
            <w:r>
              <w:rPr>
                <w:b/>
                <w:color w:val="000000"/>
                <w:sz w:val="16"/>
                <w:lang w:eastAsia="ru-RU"/>
              </w:rPr>
              <w:t>3 796 000</w:t>
            </w:r>
          </w:p>
        </w:tc>
        <w:tc>
          <w:tcPr>
            <w:tcW w:w="1183"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1 950 000</w:t>
            </w:r>
          </w:p>
        </w:tc>
        <w:tc>
          <w:tcPr>
            <w:tcW w:w="1276"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9 000 000</w:t>
            </w:r>
          </w:p>
        </w:tc>
        <w:tc>
          <w:tcPr>
            <w:tcW w:w="992"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52 000</w:t>
            </w:r>
          </w:p>
        </w:tc>
        <w:tc>
          <w:tcPr>
            <w:tcW w:w="992"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31 450</w:t>
            </w:r>
          </w:p>
        </w:tc>
        <w:tc>
          <w:tcPr>
            <w:tcW w:w="992" w:type="dxa"/>
            <w:tcBorders>
              <w:top w:val="single" w:sz="12" w:space="0" w:color="auto"/>
              <w:left w:val="single" w:sz="12" w:space="0" w:color="auto"/>
              <w:bottom w:val="single" w:sz="4" w:space="0" w:color="auto"/>
              <w:right w:val="single" w:sz="12" w:space="0" w:color="auto"/>
            </w:tcBorders>
            <w:shd w:val="clear" w:color="auto" w:fill="D9D9D9"/>
            <w:noWrap/>
            <w:vAlign w:val="center"/>
          </w:tcPr>
          <w:p w:rsidR="008D25CF" w:rsidRPr="00F339BD" w:rsidRDefault="008D25CF" w:rsidP="001D39D4">
            <w:pPr>
              <w:spacing w:line="240" w:lineRule="auto"/>
              <w:ind w:firstLine="0"/>
              <w:jc w:val="center"/>
              <w:rPr>
                <w:b/>
                <w:sz w:val="16"/>
                <w:lang w:eastAsia="ru-RU"/>
              </w:rPr>
            </w:pPr>
            <w:r>
              <w:rPr>
                <w:b/>
                <w:sz w:val="16"/>
                <w:lang w:eastAsia="ru-RU"/>
              </w:rPr>
              <w:t>75 000</w:t>
            </w:r>
          </w:p>
        </w:tc>
      </w:tr>
      <w:tr w:rsidR="008D25CF" w:rsidRPr="00072D26" w:rsidTr="001D39D4">
        <w:trPr>
          <w:trHeight w:val="284"/>
        </w:trPr>
        <w:tc>
          <w:tcPr>
            <w:tcW w:w="2271"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Низкого качества</w:t>
            </w:r>
          </w:p>
        </w:tc>
        <w:tc>
          <w:tcPr>
            <w:tcW w:w="672" w:type="dxa"/>
            <w:tcBorders>
              <w:top w:val="single" w:sz="4" w:space="0" w:color="auto"/>
              <w:left w:val="single" w:sz="12" w:space="0" w:color="auto"/>
              <w:bottom w:val="single" w:sz="4" w:space="0" w:color="auto"/>
              <w:right w:val="single" w:sz="12" w:space="0" w:color="auto"/>
            </w:tcBorders>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40</w:t>
            </w:r>
          </w:p>
        </w:tc>
        <w:tc>
          <w:tcPr>
            <w:tcW w:w="1369"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2 846 000</w:t>
            </w:r>
          </w:p>
        </w:tc>
        <w:tc>
          <w:tcPr>
            <w:tcW w:w="1183"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1 950 000</w:t>
            </w:r>
          </w:p>
        </w:tc>
        <w:tc>
          <w:tcPr>
            <w:tcW w:w="1276"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3 550 000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47 090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31 450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57 380</w:t>
            </w:r>
          </w:p>
        </w:tc>
      </w:tr>
      <w:tr w:rsidR="008D25CF" w:rsidRPr="00072D26" w:rsidTr="001D39D4">
        <w:trPr>
          <w:trHeight w:val="287"/>
        </w:trPr>
        <w:tc>
          <w:tcPr>
            <w:tcW w:w="2271"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Стандартные</w:t>
            </w:r>
          </w:p>
        </w:tc>
        <w:tc>
          <w:tcPr>
            <w:tcW w:w="672" w:type="dxa"/>
            <w:tcBorders>
              <w:top w:val="single" w:sz="4" w:space="0" w:color="auto"/>
              <w:left w:val="single" w:sz="12" w:space="0" w:color="auto"/>
              <w:bottom w:val="single" w:sz="4" w:space="0" w:color="auto"/>
              <w:right w:val="single" w:sz="12" w:space="0" w:color="auto"/>
            </w:tcBorders>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44</w:t>
            </w:r>
          </w:p>
        </w:tc>
        <w:tc>
          <w:tcPr>
            <w:tcW w:w="1369"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3 553 000</w:t>
            </w:r>
          </w:p>
        </w:tc>
        <w:tc>
          <w:tcPr>
            <w:tcW w:w="1183"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2 830 000</w:t>
            </w:r>
          </w:p>
        </w:tc>
        <w:tc>
          <w:tcPr>
            <w:tcW w:w="1276"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4 200 000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50 940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41 020</w:t>
            </w:r>
          </w:p>
        </w:tc>
        <w:tc>
          <w:tcPr>
            <w:tcW w:w="992" w:type="dxa"/>
            <w:tcBorders>
              <w:top w:val="single" w:sz="4" w:space="0" w:color="auto"/>
              <w:left w:val="single" w:sz="12" w:space="0" w:color="auto"/>
              <w:bottom w:val="single" w:sz="4"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61 100</w:t>
            </w:r>
          </w:p>
        </w:tc>
      </w:tr>
      <w:tr w:rsidR="008D25CF" w:rsidRPr="00072D26" w:rsidTr="001D39D4">
        <w:trPr>
          <w:trHeight w:val="284"/>
        </w:trPr>
        <w:tc>
          <w:tcPr>
            <w:tcW w:w="2271"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Повышенного качества</w:t>
            </w:r>
          </w:p>
        </w:tc>
        <w:tc>
          <w:tcPr>
            <w:tcW w:w="672" w:type="dxa"/>
            <w:tcBorders>
              <w:top w:val="single" w:sz="4" w:space="0" w:color="auto"/>
              <w:left w:val="single" w:sz="12" w:space="0" w:color="auto"/>
              <w:bottom w:val="single" w:sz="12" w:space="0" w:color="auto"/>
              <w:right w:val="single" w:sz="12" w:space="0" w:color="auto"/>
            </w:tcBorders>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23</w:t>
            </w:r>
          </w:p>
        </w:tc>
        <w:tc>
          <w:tcPr>
            <w:tcW w:w="1369"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5 915 000</w:t>
            </w:r>
          </w:p>
        </w:tc>
        <w:tc>
          <w:tcPr>
            <w:tcW w:w="1183"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3 900 000</w:t>
            </w:r>
          </w:p>
        </w:tc>
        <w:tc>
          <w:tcPr>
            <w:tcW w:w="1276"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9 000 000</w:t>
            </w:r>
          </w:p>
        </w:tc>
        <w:tc>
          <w:tcPr>
            <w:tcW w:w="992"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62 560</w:t>
            </w:r>
          </w:p>
        </w:tc>
        <w:tc>
          <w:tcPr>
            <w:tcW w:w="992"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40 210</w:t>
            </w:r>
          </w:p>
        </w:tc>
        <w:tc>
          <w:tcPr>
            <w:tcW w:w="992" w:type="dxa"/>
            <w:tcBorders>
              <w:top w:val="single" w:sz="4" w:space="0" w:color="auto"/>
              <w:left w:val="single" w:sz="12" w:space="0" w:color="auto"/>
              <w:bottom w:val="single" w:sz="12" w:space="0" w:color="auto"/>
              <w:right w:val="single" w:sz="12" w:space="0" w:color="auto"/>
            </w:tcBorders>
            <w:noWrap/>
            <w:vAlign w:val="center"/>
          </w:tcPr>
          <w:p w:rsidR="008D25CF" w:rsidRPr="00F339BD" w:rsidRDefault="008D25CF" w:rsidP="001D39D4">
            <w:pPr>
              <w:shd w:val="clear" w:color="auto" w:fill="FFFFFF"/>
              <w:spacing w:line="240" w:lineRule="auto"/>
              <w:ind w:firstLine="0"/>
              <w:jc w:val="center"/>
              <w:rPr>
                <w:b/>
                <w:sz w:val="16"/>
                <w:lang w:eastAsia="ru-RU"/>
              </w:rPr>
            </w:pPr>
            <w:r>
              <w:rPr>
                <w:b/>
                <w:sz w:val="16"/>
                <w:lang w:eastAsia="ru-RU"/>
              </w:rPr>
              <w:t>75 000</w:t>
            </w:r>
          </w:p>
        </w:tc>
      </w:tr>
      <w:tr w:rsidR="008D25CF" w:rsidRPr="00072D26" w:rsidTr="001D39D4">
        <w:trPr>
          <w:trHeight w:val="284"/>
        </w:trPr>
        <w:tc>
          <w:tcPr>
            <w:tcW w:w="6771" w:type="dxa"/>
            <w:gridSpan w:val="5"/>
            <w:tcBorders>
              <w:top w:val="single" w:sz="12" w:space="0" w:color="auto"/>
              <w:left w:val="single" w:sz="12" w:space="0" w:color="auto"/>
              <w:bottom w:val="single" w:sz="12" w:space="0" w:color="auto"/>
              <w:right w:val="single" w:sz="12" w:space="0" w:color="auto"/>
            </w:tcBorders>
            <w:shd w:val="clear" w:color="auto" w:fill="D9D9D9"/>
            <w:noWrap/>
            <w:vAlign w:val="center"/>
          </w:tcPr>
          <w:p w:rsidR="008D25CF" w:rsidRPr="00F339BD" w:rsidRDefault="008D25CF" w:rsidP="001D39D4">
            <w:pPr>
              <w:shd w:val="clear" w:color="auto" w:fill="FFFFFF"/>
              <w:spacing w:line="240" w:lineRule="auto"/>
              <w:ind w:firstLine="0"/>
              <w:jc w:val="center"/>
              <w:rPr>
                <w:b/>
                <w:sz w:val="16"/>
                <w:lang w:eastAsia="ru-RU"/>
              </w:rPr>
            </w:pPr>
            <w:r w:rsidRPr="00F339BD">
              <w:rPr>
                <w:b/>
                <w:sz w:val="16"/>
                <w:lang w:eastAsia="ru-RU"/>
              </w:rPr>
              <w:t>По всем:</w:t>
            </w:r>
          </w:p>
        </w:tc>
        <w:tc>
          <w:tcPr>
            <w:tcW w:w="992"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8D25CF" w:rsidRPr="00F339BD" w:rsidRDefault="008D25CF" w:rsidP="001D39D4">
            <w:pPr>
              <w:shd w:val="clear" w:color="auto" w:fill="FFFFFF"/>
              <w:spacing w:line="240" w:lineRule="auto"/>
              <w:ind w:firstLine="0"/>
              <w:jc w:val="center"/>
              <w:rPr>
                <w:b/>
                <w:bCs/>
                <w:sz w:val="16"/>
                <w:lang w:eastAsia="ru-RU"/>
              </w:rPr>
            </w:pPr>
            <w:r>
              <w:rPr>
                <w:b/>
                <w:bCs/>
                <w:sz w:val="16"/>
                <w:lang w:eastAsia="ru-RU"/>
              </w:rPr>
              <w:t>54 470</w:t>
            </w:r>
          </w:p>
        </w:tc>
        <w:tc>
          <w:tcPr>
            <w:tcW w:w="992"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8D25CF" w:rsidRPr="00F339BD" w:rsidRDefault="008D25CF" w:rsidP="001D39D4">
            <w:pPr>
              <w:shd w:val="clear" w:color="auto" w:fill="FFFFFF"/>
              <w:spacing w:line="240" w:lineRule="auto"/>
              <w:ind w:firstLine="0"/>
              <w:jc w:val="center"/>
              <w:rPr>
                <w:b/>
                <w:sz w:val="16"/>
                <w:lang w:eastAsia="ru-RU"/>
              </w:rPr>
            </w:pPr>
          </w:p>
        </w:tc>
        <w:tc>
          <w:tcPr>
            <w:tcW w:w="992"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8D25CF" w:rsidRPr="00F339BD" w:rsidRDefault="008D25CF" w:rsidP="001D39D4">
            <w:pPr>
              <w:shd w:val="clear" w:color="auto" w:fill="FFFFFF"/>
              <w:spacing w:line="240" w:lineRule="auto"/>
              <w:ind w:firstLine="0"/>
              <w:jc w:val="center"/>
              <w:rPr>
                <w:b/>
                <w:sz w:val="16"/>
                <w:lang w:eastAsia="ru-RU"/>
              </w:rPr>
            </w:pPr>
          </w:p>
        </w:tc>
      </w:tr>
    </w:tbl>
    <w:p w:rsidR="008D25CF" w:rsidRDefault="008D25CF" w:rsidP="002C3AF3">
      <w:pPr>
        <w:tabs>
          <w:tab w:val="left" w:pos="3405"/>
        </w:tabs>
      </w:pPr>
      <w:r>
        <w:t xml:space="preserve"> </w:t>
      </w:r>
    </w:p>
    <w:p w:rsidR="008D25CF" w:rsidRDefault="008D25CF" w:rsidP="002C3AF3">
      <w:pPr>
        <w:tabs>
          <w:tab w:val="left" w:pos="3405"/>
        </w:tabs>
      </w:pPr>
      <w:r>
        <w:t>Март завершает первый квартал года. Результаты ежемесячного мониторинга состояния квартирного рынка позволяют построить динамику и выявить тенденции изменения основных его показателей</w:t>
      </w:r>
      <w:r w:rsidRPr="00F76B0E">
        <w:t xml:space="preserve"> </w:t>
      </w:r>
      <w:r>
        <w:t xml:space="preserve">в течение этого периода. </w:t>
      </w:r>
    </w:p>
    <w:p w:rsidR="008D25CF" w:rsidRDefault="008D25CF" w:rsidP="002C3AF3">
      <w:pPr>
        <w:tabs>
          <w:tab w:val="left" w:pos="3405"/>
        </w:tabs>
      </w:pPr>
      <w:r>
        <w:t xml:space="preserve">В первую очередь для анализа характера движения рынка применяется наиболее обобщающий, интегральный показатель "средняя удельная цена", т.е. цена 1 кв.м. общей площади квартиры, характеризующая  ценовую ситуацию на рынке в целом на всей территории города и по всему разнообразию квартир. </w:t>
      </w:r>
    </w:p>
    <w:p w:rsidR="008D25CF" w:rsidRDefault="008D25CF" w:rsidP="002C3AF3">
      <w:pPr>
        <w:tabs>
          <w:tab w:val="left" w:pos="3405"/>
        </w:tabs>
      </w:pPr>
      <w:r>
        <w:t xml:space="preserve">Динамика этого показателя в течение первого квартала текущего 2015 года, а также линейный тренд временного ряда и его уравнение представлены на рис. 1. </w:t>
      </w:r>
    </w:p>
    <w:p w:rsidR="008D25CF" w:rsidRDefault="008D25CF" w:rsidP="002C3AF3">
      <w:pPr>
        <w:tabs>
          <w:tab w:val="left" w:pos="3405"/>
        </w:tabs>
      </w:pPr>
    </w:p>
    <w:p w:rsidR="008D25CF" w:rsidRDefault="008D25CF" w:rsidP="002C3AF3">
      <w:pPr>
        <w:tabs>
          <w:tab w:val="left" w:pos="3405"/>
        </w:tabs>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20pt;height:12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">
            <v:imagedata r:id="rId6" o:title="" cropbottom="-130f"/>
            <o:lock v:ext="edit" aspectratio="f"/>
          </v:shape>
        </w:pict>
      </w:r>
    </w:p>
    <w:p w:rsidR="008D25CF" w:rsidRDefault="008D25CF" w:rsidP="002C3AF3">
      <w:pPr>
        <w:tabs>
          <w:tab w:val="left" w:pos="3405"/>
        </w:tabs>
        <w:jc w:val="center"/>
      </w:pPr>
    </w:p>
    <w:p w:rsidR="008D25CF" w:rsidRDefault="008D25CF" w:rsidP="002C3AF3">
      <w:pPr>
        <w:tabs>
          <w:tab w:val="left" w:pos="3405"/>
        </w:tabs>
        <w:jc w:val="center"/>
        <w:rPr>
          <w:b/>
          <w:sz w:val="20"/>
        </w:rPr>
      </w:pPr>
      <w:r>
        <w:rPr>
          <w:b/>
          <w:sz w:val="20"/>
        </w:rPr>
        <w:t>Рис. 1.  Динамика средней удельной цены в первом квартале 2015 года</w:t>
      </w:r>
    </w:p>
    <w:p w:rsidR="008D25CF" w:rsidRDefault="008D25CF" w:rsidP="002C3AF3">
      <w:pPr>
        <w:tabs>
          <w:tab w:val="left" w:pos="3405"/>
        </w:tabs>
        <w:jc w:val="center"/>
        <w:rPr>
          <w:b/>
          <w:sz w:val="20"/>
        </w:rPr>
      </w:pPr>
    </w:p>
    <w:p w:rsidR="008D25CF" w:rsidRDefault="008D25CF" w:rsidP="002C3AF3">
      <w:pPr>
        <w:tabs>
          <w:tab w:val="left" w:pos="3405"/>
        </w:tabs>
      </w:pPr>
      <w:r>
        <w:t>Приведенные данные, несмотря на незначительное повышение  удельной цены в первые два месяца, в целом за весь период свидетельствуют о понижательном  тренде или тенденции снижения средней по всем сегмента рынка удельной цены. За квартал средняя удельная цена уменьшилась на 0,7%, а падение её величины относительно марта прошлого года составило 3,6%.</w:t>
      </w:r>
    </w:p>
    <w:p w:rsidR="008D25CF" w:rsidRDefault="008D25CF" w:rsidP="002C3AF3">
      <w:pPr>
        <w:tabs>
          <w:tab w:val="left" w:pos="3405"/>
        </w:tabs>
      </w:pPr>
      <w:r>
        <w:t xml:space="preserve">Таким образом, на квартирном рынке Твери  в начале 2015 года сохранилась тенденция снижения удельной цены, обозначившаяся на большем протяжении 2014 года. </w:t>
      </w:r>
    </w:p>
    <w:p w:rsidR="008D25CF" w:rsidRDefault="008D25CF" w:rsidP="002C3AF3">
      <w:pPr>
        <w:tabs>
          <w:tab w:val="left" w:pos="3405"/>
        </w:tabs>
      </w:pPr>
      <w:r>
        <w:t>Ценовая ситуация на рынке в целом складывается из её составляющих в его отдельных секторах. При этом движение цен в них может быть разнонаправленным. Значения средних  цен в секторах одно, двух и трехкомнатных квартир по итогам каждого месяца в течение первого квартала представлены в табл.2.</w:t>
      </w:r>
    </w:p>
    <w:p w:rsidR="008D25CF" w:rsidRDefault="008D25CF" w:rsidP="002C3AF3">
      <w:pPr>
        <w:tabs>
          <w:tab w:val="left" w:pos="3405"/>
        </w:tabs>
        <w:rPr>
          <w:b/>
          <w:sz w:val="20"/>
        </w:rPr>
      </w:pPr>
    </w:p>
    <w:p w:rsidR="008D25CF" w:rsidRPr="00232A52" w:rsidRDefault="008D25CF" w:rsidP="002C3AF3">
      <w:pPr>
        <w:tabs>
          <w:tab w:val="left" w:pos="3405"/>
        </w:tabs>
        <w:rPr>
          <w:b/>
          <w:sz w:val="20"/>
        </w:rPr>
      </w:pPr>
      <w:r>
        <w:rPr>
          <w:b/>
          <w:sz w:val="20"/>
        </w:rPr>
        <w:t>Таблица 2. Средние  цены в различных секторах квартирного рынка Твери в первом квартале  2015 года</w:t>
      </w:r>
    </w:p>
    <w:p w:rsidR="008D25CF" w:rsidRDefault="008D25CF" w:rsidP="002C3AF3">
      <w:pPr>
        <w:tabs>
          <w:tab w:val="left" w:pos="3405"/>
        </w:tabs>
        <w:ind w:left="708"/>
      </w:pPr>
    </w:p>
    <w:tbl>
      <w:tblPr>
        <w:tblpPr w:leftFromText="180" w:rightFromText="180" w:vertAnchor="text" w:tblpXSpec="center" w:tblpY="1"/>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1759"/>
        <w:gridCol w:w="1760"/>
        <w:gridCol w:w="1760"/>
        <w:gridCol w:w="1760"/>
      </w:tblGrid>
      <w:tr w:rsidR="008D25CF" w:rsidRPr="00072D26" w:rsidTr="00072D26">
        <w:trPr>
          <w:trHeight w:val="454"/>
        </w:trPr>
        <w:tc>
          <w:tcPr>
            <w:tcW w:w="1007" w:type="dxa"/>
            <w:shd w:val="clear" w:color="auto" w:fill="A6A6A6"/>
            <w:noWrap/>
          </w:tcPr>
          <w:p w:rsidR="008D25CF" w:rsidRPr="00072D26" w:rsidRDefault="008D25CF" w:rsidP="00072D26">
            <w:pPr>
              <w:spacing w:line="240" w:lineRule="auto"/>
              <w:ind w:firstLine="0"/>
              <w:jc w:val="center"/>
              <w:rPr>
                <w:b/>
                <w:lang w:eastAsia="ru-RU"/>
              </w:rPr>
            </w:pPr>
            <w:r w:rsidRPr="00072D26">
              <w:rPr>
                <w:b/>
                <w:sz w:val="22"/>
                <w:szCs w:val="22"/>
                <w:lang w:eastAsia="ru-RU"/>
              </w:rPr>
              <w:t>Сектор</w:t>
            </w:r>
          </w:p>
        </w:tc>
        <w:tc>
          <w:tcPr>
            <w:tcW w:w="1758" w:type="dxa"/>
            <w:gridSpan w:val="4"/>
            <w:shd w:val="clear" w:color="auto" w:fill="A6A6A6"/>
            <w:noWrap/>
          </w:tcPr>
          <w:p w:rsidR="008D25CF" w:rsidRPr="00072D26" w:rsidRDefault="008D25CF" w:rsidP="00072D26">
            <w:pPr>
              <w:spacing w:line="240" w:lineRule="auto"/>
              <w:ind w:firstLine="0"/>
              <w:jc w:val="center"/>
              <w:rPr>
                <w:b/>
                <w:lang w:eastAsia="ru-RU"/>
              </w:rPr>
            </w:pPr>
            <w:r w:rsidRPr="00072D26">
              <w:rPr>
                <w:b/>
                <w:sz w:val="22"/>
                <w:szCs w:val="22"/>
                <w:lang w:eastAsia="ru-RU"/>
              </w:rPr>
              <w:t>Средняя цена, руб.</w:t>
            </w:r>
          </w:p>
        </w:tc>
      </w:tr>
      <w:tr w:rsidR="008D25CF" w:rsidRPr="00072D26" w:rsidTr="00072D26">
        <w:trPr>
          <w:trHeight w:val="435"/>
        </w:trPr>
        <w:tc>
          <w:tcPr>
            <w:tcW w:w="1007" w:type="dxa"/>
            <w:shd w:val="clear" w:color="auto" w:fill="EEECE1"/>
            <w:noWrap/>
          </w:tcPr>
          <w:p w:rsidR="008D25CF" w:rsidRPr="00072D26" w:rsidRDefault="008D25CF" w:rsidP="00072D26">
            <w:pPr>
              <w:spacing w:line="240" w:lineRule="auto"/>
              <w:ind w:firstLine="0"/>
              <w:jc w:val="left"/>
              <w:rPr>
                <w:b/>
                <w:sz w:val="20"/>
                <w:lang w:eastAsia="ru-RU"/>
              </w:rPr>
            </w:pPr>
            <w:r w:rsidRPr="00072D26">
              <w:rPr>
                <w:b/>
                <w:sz w:val="20"/>
                <w:szCs w:val="22"/>
                <w:lang w:eastAsia="ru-RU"/>
              </w:rPr>
              <w:t>Кол-во комнат</w:t>
            </w:r>
          </w:p>
        </w:tc>
        <w:tc>
          <w:tcPr>
            <w:tcW w:w="1758" w:type="dxa"/>
            <w:shd w:val="clear" w:color="auto" w:fill="EEECE1"/>
          </w:tcPr>
          <w:p w:rsidR="008D25CF" w:rsidRPr="00072D26" w:rsidRDefault="008D25CF" w:rsidP="00072D26">
            <w:pPr>
              <w:spacing w:line="240" w:lineRule="auto"/>
              <w:ind w:firstLine="0"/>
              <w:jc w:val="center"/>
              <w:rPr>
                <w:b/>
                <w:sz w:val="18"/>
                <w:lang w:eastAsia="ru-RU"/>
              </w:rPr>
            </w:pPr>
            <w:r w:rsidRPr="00072D26">
              <w:rPr>
                <w:b/>
                <w:sz w:val="18"/>
                <w:szCs w:val="22"/>
                <w:lang w:eastAsia="ru-RU"/>
              </w:rPr>
              <w:t xml:space="preserve">Декабрь </w:t>
            </w:r>
            <w:smartTag w:uri="urn:schemas-microsoft-com:office:smarttags" w:element="metricconverter">
              <w:smartTagPr>
                <w:attr w:name="ProductID" w:val="2014 г"/>
              </w:smartTagPr>
              <w:r w:rsidRPr="00072D26">
                <w:rPr>
                  <w:b/>
                  <w:sz w:val="18"/>
                  <w:szCs w:val="22"/>
                  <w:lang w:eastAsia="ru-RU"/>
                </w:rPr>
                <w:t>2014 г</w:t>
              </w:r>
            </w:smartTag>
            <w:r w:rsidRPr="00072D26">
              <w:rPr>
                <w:b/>
                <w:sz w:val="18"/>
                <w:szCs w:val="22"/>
                <w:lang w:eastAsia="ru-RU"/>
              </w:rPr>
              <w:t>.</w:t>
            </w:r>
          </w:p>
        </w:tc>
        <w:tc>
          <w:tcPr>
            <w:tcW w:w="1758" w:type="dxa"/>
            <w:shd w:val="clear" w:color="auto" w:fill="EEECE1"/>
            <w:noWrap/>
          </w:tcPr>
          <w:p w:rsidR="008D25CF" w:rsidRPr="00072D26" w:rsidRDefault="008D25CF" w:rsidP="00072D26">
            <w:pPr>
              <w:spacing w:line="240" w:lineRule="auto"/>
              <w:ind w:firstLine="0"/>
              <w:jc w:val="center"/>
              <w:rPr>
                <w:b/>
                <w:sz w:val="18"/>
                <w:lang w:eastAsia="ru-RU"/>
              </w:rPr>
            </w:pPr>
            <w:r w:rsidRPr="00072D26">
              <w:rPr>
                <w:b/>
                <w:sz w:val="18"/>
                <w:szCs w:val="22"/>
                <w:lang w:eastAsia="ru-RU"/>
              </w:rPr>
              <w:t xml:space="preserve">Январь </w:t>
            </w:r>
            <w:smartTag w:uri="urn:schemas-microsoft-com:office:smarttags" w:element="metricconverter">
              <w:smartTagPr>
                <w:attr w:name="ProductID" w:val="2015 г"/>
              </w:smartTagPr>
              <w:r w:rsidRPr="00072D26">
                <w:rPr>
                  <w:b/>
                  <w:sz w:val="18"/>
                  <w:szCs w:val="22"/>
                  <w:lang w:eastAsia="ru-RU"/>
                </w:rPr>
                <w:t>2015 г</w:t>
              </w:r>
            </w:smartTag>
            <w:r w:rsidRPr="00072D26">
              <w:rPr>
                <w:b/>
                <w:sz w:val="18"/>
                <w:szCs w:val="22"/>
                <w:lang w:eastAsia="ru-RU"/>
              </w:rPr>
              <w:t>.</w:t>
            </w:r>
          </w:p>
        </w:tc>
        <w:tc>
          <w:tcPr>
            <w:tcW w:w="1758" w:type="dxa"/>
            <w:shd w:val="clear" w:color="auto" w:fill="EEECE1"/>
            <w:noWrap/>
          </w:tcPr>
          <w:p w:rsidR="008D25CF" w:rsidRPr="00072D26" w:rsidRDefault="008D25CF" w:rsidP="00072D26">
            <w:pPr>
              <w:spacing w:line="240" w:lineRule="auto"/>
              <w:ind w:firstLine="0"/>
              <w:jc w:val="center"/>
              <w:rPr>
                <w:b/>
                <w:sz w:val="18"/>
                <w:lang w:eastAsia="ru-RU"/>
              </w:rPr>
            </w:pPr>
            <w:r w:rsidRPr="00072D26">
              <w:rPr>
                <w:b/>
                <w:sz w:val="18"/>
                <w:szCs w:val="22"/>
                <w:lang w:eastAsia="ru-RU"/>
              </w:rPr>
              <w:t xml:space="preserve">Февраль </w:t>
            </w:r>
            <w:smartTag w:uri="urn:schemas-microsoft-com:office:smarttags" w:element="metricconverter">
              <w:smartTagPr>
                <w:attr w:name="ProductID" w:val="2015 г"/>
              </w:smartTagPr>
              <w:r w:rsidRPr="00072D26">
                <w:rPr>
                  <w:b/>
                  <w:sz w:val="18"/>
                  <w:szCs w:val="22"/>
                  <w:lang w:eastAsia="ru-RU"/>
                </w:rPr>
                <w:t>2015 г</w:t>
              </w:r>
            </w:smartTag>
            <w:r w:rsidRPr="00072D26">
              <w:rPr>
                <w:b/>
                <w:sz w:val="18"/>
                <w:szCs w:val="22"/>
                <w:lang w:eastAsia="ru-RU"/>
              </w:rPr>
              <w:t>.</w:t>
            </w:r>
          </w:p>
        </w:tc>
        <w:tc>
          <w:tcPr>
            <w:tcW w:w="1758" w:type="dxa"/>
            <w:shd w:val="clear" w:color="auto" w:fill="EEECE1"/>
            <w:noWrap/>
          </w:tcPr>
          <w:p w:rsidR="008D25CF" w:rsidRPr="00072D26" w:rsidRDefault="008D25CF" w:rsidP="00072D26">
            <w:pPr>
              <w:spacing w:line="240" w:lineRule="auto"/>
              <w:ind w:firstLine="0"/>
              <w:jc w:val="center"/>
              <w:rPr>
                <w:b/>
                <w:sz w:val="18"/>
                <w:lang w:eastAsia="ru-RU"/>
              </w:rPr>
            </w:pPr>
            <w:r w:rsidRPr="00072D26">
              <w:rPr>
                <w:b/>
                <w:sz w:val="18"/>
                <w:szCs w:val="22"/>
                <w:lang w:eastAsia="ru-RU"/>
              </w:rPr>
              <w:t xml:space="preserve">Март </w:t>
            </w:r>
            <w:smartTag w:uri="urn:schemas-microsoft-com:office:smarttags" w:element="metricconverter">
              <w:smartTagPr>
                <w:attr w:name="ProductID" w:val="2015 г"/>
              </w:smartTagPr>
              <w:r w:rsidRPr="00072D26">
                <w:rPr>
                  <w:b/>
                  <w:sz w:val="18"/>
                  <w:szCs w:val="22"/>
                  <w:lang w:eastAsia="ru-RU"/>
                </w:rPr>
                <w:t>2015 г</w:t>
              </w:r>
            </w:smartTag>
            <w:r w:rsidRPr="00072D26">
              <w:rPr>
                <w:b/>
                <w:sz w:val="18"/>
                <w:szCs w:val="22"/>
                <w:lang w:eastAsia="ru-RU"/>
              </w:rPr>
              <w:t>.</w:t>
            </w:r>
          </w:p>
        </w:tc>
      </w:tr>
      <w:tr w:rsidR="008D25CF" w:rsidRPr="00072D26" w:rsidTr="00072D26">
        <w:trPr>
          <w:trHeight w:val="59"/>
        </w:trPr>
        <w:tc>
          <w:tcPr>
            <w:tcW w:w="1007" w:type="dxa"/>
            <w:shd w:val="clear" w:color="auto" w:fill="D9D9D9"/>
            <w:noWrap/>
          </w:tcPr>
          <w:p w:rsidR="008D25CF" w:rsidRPr="00072D26" w:rsidRDefault="008D25CF" w:rsidP="00072D26">
            <w:pPr>
              <w:spacing w:line="240" w:lineRule="auto"/>
              <w:ind w:firstLine="0"/>
              <w:jc w:val="center"/>
              <w:rPr>
                <w:b/>
                <w:sz w:val="20"/>
                <w:lang w:eastAsia="ru-RU"/>
              </w:rPr>
            </w:pPr>
            <w:r w:rsidRPr="00072D26">
              <w:rPr>
                <w:b/>
                <w:sz w:val="20"/>
                <w:szCs w:val="22"/>
                <w:lang w:eastAsia="ru-RU"/>
              </w:rPr>
              <w:t>1</w:t>
            </w:r>
          </w:p>
        </w:tc>
        <w:tc>
          <w:tcPr>
            <w:tcW w:w="1758" w:type="dxa"/>
            <w:shd w:val="clear" w:color="auto" w:fill="D9D9D9"/>
          </w:tcPr>
          <w:p w:rsidR="008D25CF" w:rsidRPr="00072D26" w:rsidRDefault="008D25CF" w:rsidP="00072D26">
            <w:pPr>
              <w:spacing w:line="240" w:lineRule="auto"/>
              <w:ind w:firstLine="0"/>
              <w:jc w:val="center"/>
              <w:rPr>
                <w:b/>
                <w:sz w:val="20"/>
                <w:lang w:eastAsia="ru-RU"/>
              </w:rPr>
            </w:pPr>
            <w:r w:rsidRPr="00072D26">
              <w:rPr>
                <w:b/>
                <w:sz w:val="20"/>
                <w:szCs w:val="22"/>
                <w:lang w:eastAsia="ru-RU"/>
              </w:rPr>
              <w:t>2 179 000</w:t>
            </w:r>
          </w:p>
        </w:tc>
        <w:tc>
          <w:tcPr>
            <w:tcW w:w="1758" w:type="dxa"/>
            <w:shd w:val="clear" w:color="auto" w:fill="D9D9D9"/>
            <w:noWrap/>
          </w:tcPr>
          <w:p w:rsidR="008D25CF" w:rsidRPr="00072D26" w:rsidRDefault="008D25CF" w:rsidP="00072D26">
            <w:pPr>
              <w:spacing w:line="240" w:lineRule="auto"/>
              <w:ind w:firstLine="0"/>
              <w:jc w:val="center"/>
              <w:rPr>
                <w:b/>
                <w:sz w:val="20"/>
                <w:lang w:eastAsia="ru-RU"/>
              </w:rPr>
            </w:pPr>
            <w:r w:rsidRPr="00072D26">
              <w:rPr>
                <w:b/>
                <w:sz w:val="20"/>
                <w:szCs w:val="22"/>
                <w:lang w:eastAsia="ru-RU"/>
              </w:rPr>
              <w:t>2 218 000</w:t>
            </w:r>
          </w:p>
        </w:tc>
        <w:tc>
          <w:tcPr>
            <w:tcW w:w="1758" w:type="dxa"/>
            <w:shd w:val="clear" w:color="auto" w:fill="D9D9D9"/>
            <w:noWrap/>
          </w:tcPr>
          <w:p w:rsidR="008D25CF" w:rsidRPr="00072D26" w:rsidRDefault="008D25CF" w:rsidP="00072D26">
            <w:pPr>
              <w:spacing w:line="240" w:lineRule="auto"/>
              <w:ind w:firstLine="0"/>
              <w:jc w:val="center"/>
              <w:rPr>
                <w:b/>
                <w:sz w:val="20"/>
                <w:lang w:eastAsia="ru-RU"/>
              </w:rPr>
            </w:pPr>
            <w:r w:rsidRPr="00072D26">
              <w:rPr>
                <w:b/>
                <w:sz w:val="20"/>
                <w:szCs w:val="22"/>
                <w:lang w:eastAsia="ru-RU"/>
              </w:rPr>
              <w:t>2 170 000</w:t>
            </w:r>
          </w:p>
        </w:tc>
        <w:tc>
          <w:tcPr>
            <w:tcW w:w="1758" w:type="dxa"/>
            <w:shd w:val="clear" w:color="auto" w:fill="D9D9D9"/>
            <w:noWrap/>
          </w:tcPr>
          <w:p w:rsidR="008D25CF" w:rsidRPr="00072D26" w:rsidRDefault="008D25CF" w:rsidP="00072D26">
            <w:pPr>
              <w:spacing w:line="240" w:lineRule="auto"/>
              <w:ind w:firstLine="0"/>
              <w:jc w:val="center"/>
              <w:rPr>
                <w:b/>
                <w:sz w:val="20"/>
                <w:lang w:eastAsia="ru-RU"/>
              </w:rPr>
            </w:pPr>
            <w:r w:rsidRPr="00072D26">
              <w:rPr>
                <w:b/>
                <w:sz w:val="20"/>
                <w:szCs w:val="22"/>
                <w:lang w:eastAsia="ru-RU"/>
              </w:rPr>
              <w:t>2 069 000</w:t>
            </w:r>
          </w:p>
        </w:tc>
      </w:tr>
      <w:tr w:rsidR="008D25CF" w:rsidRPr="00072D26" w:rsidTr="00072D26">
        <w:trPr>
          <w:trHeight w:val="300"/>
        </w:trPr>
        <w:tc>
          <w:tcPr>
            <w:tcW w:w="1007" w:type="dxa"/>
            <w:shd w:val="clear" w:color="auto" w:fill="D9D9D9"/>
            <w:noWrap/>
            <w:vAlign w:val="center"/>
          </w:tcPr>
          <w:p w:rsidR="008D25CF" w:rsidRPr="00072D26" w:rsidRDefault="008D25CF" w:rsidP="00072D26">
            <w:pPr>
              <w:spacing w:line="240" w:lineRule="auto"/>
              <w:ind w:firstLine="0"/>
              <w:jc w:val="center"/>
              <w:rPr>
                <w:b/>
                <w:sz w:val="20"/>
                <w:lang w:eastAsia="ru-RU"/>
              </w:rPr>
            </w:pPr>
            <w:r w:rsidRPr="00072D26">
              <w:rPr>
                <w:b/>
                <w:sz w:val="20"/>
                <w:szCs w:val="22"/>
                <w:lang w:eastAsia="ru-RU"/>
              </w:rPr>
              <w:t>2</w:t>
            </w:r>
          </w:p>
        </w:tc>
        <w:tc>
          <w:tcPr>
            <w:tcW w:w="1758" w:type="dxa"/>
            <w:shd w:val="clear" w:color="auto" w:fill="D9D9D9"/>
            <w:vAlign w:val="center"/>
          </w:tcPr>
          <w:p w:rsidR="008D25CF" w:rsidRPr="00072D26" w:rsidRDefault="008D25CF" w:rsidP="00072D26">
            <w:pPr>
              <w:spacing w:line="240" w:lineRule="auto"/>
              <w:ind w:firstLine="0"/>
              <w:jc w:val="center"/>
              <w:rPr>
                <w:b/>
                <w:sz w:val="20"/>
                <w:lang w:eastAsia="ru-RU"/>
              </w:rPr>
            </w:pPr>
            <w:r w:rsidRPr="00072D26">
              <w:rPr>
                <w:b/>
                <w:sz w:val="20"/>
                <w:szCs w:val="22"/>
                <w:lang w:eastAsia="ru-RU"/>
              </w:rPr>
              <w:t>2 912 000</w:t>
            </w:r>
          </w:p>
        </w:tc>
        <w:tc>
          <w:tcPr>
            <w:tcW w:w="1758" w:type="dxa"/>
            <w:shd w:val="clear" w:color="auto" w:fill="D9D9D9"/>
            <w:noWrap/>
            <w:vAlign w:val="center"/>
          </w:tcPr>
          <w:p w:rsidR="008D25CF" w:rsidRPr="00072D26" w:rsidRDefault="008D25CF" w:rsidP="00072D26">
            <w:pPr>
              <w:spacing w:line="240" w:lineRule="auto"/>
              <w:ind w:firstLine="0"/>
              <w:jc w:val="center"/>
              <w:rPr>
                <w:b/>
                <w:sz w:val="20"/>
                <w:lang w:eastAsia="ru-RU"/>
              </w:rPr>
            </w:pPr>
            <w:r w:rsidRPr="00072D26">
              <w:rPr>
                <w:b/>
                <w:sz w:val="20"/>
                <w:szCs w:val="22"/>
                <w:lang w:eastAsia="ru-RU"/>
              </w:rPr>
              <w:t>2 885 000</w:t>
            </w:r>
          </w:p>
        </w:tc>
        <w:tc>
          <w:tcPr>
            <w:tcW w:w="1758" w:type="dxa"/>
            <w:shd w:val="clear" w:color="auto" w:fill="D9D9D9"/>
            <w:noWrap/>
            <w:vAlign w:val="center"/>
          </w:tcPr>
          <w:p w:rsidR="008D25CF" w:rsidRPr="00072D26" w:rsidRDefault="008D25CF" w:rsidP="00072D26">
            <w:pPr>
              <w:spacing w:line="240" w:lineRule="auto"/>
              <w:ind w:firstLine="0"/>
              <w:jc w:val="center"/>
              <w:rPr>
                <w:b/>
                <w:sz w:val="20"/>
                <w:lang w:eastAsia="ru-RU"/>
              </w:rPr>
            </w:pPr>
            <w:r w:rsidRPr="00072D26">
              <w:rPr>
                <w:b/>
                <w:sz w:val="20"/>
                <w:szCs w:val="22"/>
                <w:lang w:eastAsia="ru-RU"/>
              </w:rPr>
              <w:t>2 804 000</w:t>
            </w:r>
          </w:p>
        </w:tc>
        <w:tc>
          <w:tcPr>
            <w:tcW w:w="1758" w:type="dxa"/>
            <w:shd w:val="clear" w:color="auto" w:fill="D9D9D9"/>
            <w:noWrap/>
            <w:vAlign w:val="center"/>
          </w:tcPr>
          <w:p w:rsidR="008D25CF" w:rsidRPr="00072D26" w:rsidRDefault="008D25CF" w:rsidP="00072D26">
            <w:pPr>
              <w:spacing w:line="240" w:lineRule="auto"/>
              <w:ind w:firstLine="0"/>
              <w:jc w:val="center"/>
              <w:rPr>
                <w:b/>
                <w:sz w:val="20"/>
                <w:lang w:eastAsia="ru-RU"/>
              </w:rPr>
            </w:pPr>
            <w:r w:rsidRPr="00072D26">
              <w:rPr>
                <w:b/>
                <w:sz w:val="20"/>
                <w:szCs w:val="22"/>
                <w:lang w:eastAsia="ru-RU"/>
              </w:rPr>
              <w:t>2 847 000</w:t>
            </w:r>
          </w:p>
        </w:tc>
      </w:tr>
      <w:tr w:rsidR="008D25CF" w:rsidRPr="00072D26" w:rsidTr="00072D26">
        <w:trPr>
          <w:trHeight w:val="300"/>
        </w:trPr>
        <w:tc>
          <w:tcPr>
            <w:tcW w:w="1007" w:type="dxa"/>
            <w:shd w:val="clear" w:color="auto" w:fill="D9D9D9"/>
            <w:noWrap/>
          </w:tcPr>
          <w:p w:rsidR="008D25CF" w:rsidRPr="00072D26" w:rsidRDefault="008D25CF" w:rsidP="00072D26">
            <w:pPr>
              <w:spacing w:line="240" w:lineRule="auto"/>
              <w:ind w:firstLine="0"/>
              <w:jc w:val="center"/>
              <w:rPr>
                <w:b/>
                <w:sz w:val="20"/>
                <w:lang w:eastAsia="ru-RU"/>
              </w:rPr>
            </w:pPr>
            <w:r w:rsidRPr="00072D26">
              <w:rPr>
                <w:b/>
                <w:sz w:val="20"/>
                <w:szCs w:val="22"/>
                <w:lang w:eastAsia="ru-RU"/>
              </w:rPr>
              <w:t>3</w:t>
            </w:r>
          </w:p>
        </w:tc>
        <w:tc>
          <w:tcPr>
            <w:tcW w:w="1758" w:type="dxa"/>
            <w:shd w:val="clear" w:color="auto" w:fill="D9D9D9"/>
          </w:tcPr>
          <w:p w:rsidR="008D25CF" w:rsidRPr="00072D26" w:rsidRDefault="008D25CF" w:rsidP="00072D26">
            <w:pPr>
              <w:spacing w:line="240" w:lineRule="auto"/>
              <w:ind w:firstLine="0"/>
              <w:jc w:val="center"/>
              <w:rPr>
                <w:b/>
                <w:sz w:val="20"/>
                <w:lang w:eastAsia="ru-RU"/>
              </w:rPr>
            </w:pPr>
            <w:r w:rsidRPr="00072D26">
              <w:rPr>
                <w:b/>
                <w:sz w:val="20"/>
                <w:szCs w:val="22"/>
                <w:lang w:eastAsia="ru-RU"/>
              </w:rPr>
              <w:t>3 697 000</w:t>
            </w:r>
          </w:p>
        </w:tc>
        <w:tc>
          <w:tcPr>
            <w:tcW w:w="1758" w:type="dxa"/>
            <w:shd w:val="clear" w:color="auto" w:fill="D9D9D9"/>
            <w:noWrap/>
          </w:tcPr>
          <w:p w:rsidR="008D25CF" w:rsidRPr="00072D26" w:rsidRDefault="008D25CF" w:rsidP="00072D26">
            <w:pPr>
              <w:spacing w:line="240" w:lineRule="auto"/>
              <w:ind w:firstLine="0"/>
              <w:jc w:val="center"/>
              <w:rPr>
                <w:b/>
                <w:sz w:val="20"/>
                <w:lang w:eastAsia="ru-RU"/>
              </w:rPr>
            </w:pPr>
            <w:r w:rsidRPr="00072D26">
              <w:rPr>
                <w:b/>
                <w:sz w:val="20"/>
                <w:szCs w:val="22"/>
                <w:lang w:eastAsia="ru-RU"/>
              </w:rPr>
              <w:t xml:space="preserve">3 </w:t>
            </w:r>
            <w:r>
              <w:rPr>
                <w:b/>
                <w:sz w:val="20"/>
                <w:szCs w:val="22"/>
                <w:lang w:eastAsia="ru-RU"/>
              </w:rPr>
              <w:t>9</w:t>
            </w:r>
            <w:r w:rsidRPr="00072D26">
              <w:rPr>
                <w:b/>
                <w:sz w:val="20"/>
                <w:szCs w:val="22"/>
                <w:lang w:eastAsia="ru-RU"/>
              </w:rPr>
              <w:t>63 000</w:t>
            </w:r>
          </w:p>
        </w:tc>
        <w:tc>
          <w:tcPr>
            <w:tcW w:w="1758" w:type="dxa"/>
            <w:shd w:val="clear" w:color="auto" w:fill="D9D9D9"/>
            <w:noWrap/>
          </w:tcPr>
          <w:p w:rsidR="008D25CF" w:rsidRPr="00072D26" w:rsidRDefault="008D25CF" w:rsidP="00072D26">
            <w:pPr>
              <w:spacing w:line="240" w:lineRule="auto"/>
              <w:ind w:firstLine="0"/>
              <w:jc w:val="center"/>
              <w:rPr>
                <w:b/>
                <w:sz w:val="20"/>
                <w:lang w:eastAsia="ru-RU"/>
              </w:rPr>
            </w:pPr>
            <w:r w:rsidRPr="00072D26">
              <w:rPr>
                <w:b/>
                <w:sz w:val="20"/>
                <w:szCs w:val="22"/>
                <w:lang w:eastAsia="ru-RU"/>
              </w:rPr>
              <w:t>3 852 000</w:t>
            </w:r>
          </w:p>
        </w:tc>
        <w:tc>
          <w:tcPr>
            <w:tcW w:w="1758" w:type="dxa"/>
            <w:shd w:val="clear" w:color="auto" w:fill="D9D9D9"/>
            <w:noWrap/>
          </w:tcPr>
          <w:p w:rsidR="008D25CF" w:rsidRPr="00072D26" w:rsidRDefault="008D25CF" w:rsidP="00072D26">
            <w:pPr>
              <w:spacing w:line="240" w:lineRule="auto"/>
              <w:ind w:firstLine="0"/>
              <w:jc w:val="center"/>
              <w:rPr>
                <w:b/>
                <w:sz w:val="20"/>
                <w:lang w:eastAsia="ru-RU"/>
              </w:rPr>
            </w:pPr>
            <w:r w:rsidRPr="00072D26">
              <w:rPr>
                <w:b/>
                <w:sz w:val="20"/>
                <w:szCs w:val="22"/>
                <w:lang w:eastAsia="ru-RU"/>
              </w:rPr>
              <w:t>3 796 000</w:t>
            </w:r>
          </w:p>
        </w:tc>
      </w:tr>
    </w:tbl>
    <w:p w:rsidR="008D25CF" w:rsidRDefault="008D25CF" w:rsidP="002C3AF3">
      <w:pPr>
        <w:tabs>
          <w:tab w:val="left" w:pos="3405"/>
        </w:tabs>
      </w:pPr>
      <w:r>
        <w:br w:type="textWrapping" w:clear="all"/>
      </w:r>
    </w:p>
    <w:p w:rsidR="008D25CF" w:rsidRDefault="008D25CF" w:rsidP="004E2025">
      <w:pPr>
        <w:tabs>
          <w:tab w:val="left" w:pos="3405"/>
        </w:tabs>
      </w:pPr>
      <w:r>
        <w:t xml:space="preserve">Для большей наглядности по данным табл. 2 ежемесячное движение средних цен в каждом секторе представлено в виде графиков на рис. 2. По характеру их изменения, в сравнении с динамикой средней по всему квартирному рынку удельной цены (рис.1), ближе всего к общей картине  развития ценовой ситуации на квартирном рынке находится временной ряд цен 1-о комнатных квартир.  </w:t>
      </w:r>
      <w:r w:rsidRPr="00EE1A67">
        <w:t>В этом секторе также в январе произошел рост цен, затем в феврале незначительный спад и марте ещё более интенсивное их падение. Амплитуду этих колебаний при расчете средней удельной цены компенсировало разнонаправленное движение цен в двух  других секторах.</w:t>
      </w:r>
      <w:r>
        <w:t xml:space="preserve"> </w:t>
      </w:r>
    </w:p>
    <w:p w:rsidR="008D25CF" w:rsidRDefault="008D25CF" w:rsidP="002C3AF3">
      <w:pPr>
        <w:tabs>
          <w:tab w:val="left" w:pos="3405"/>
        </w:tabs>
      </w:pPr>
      <w:r>
        <w:rPr>
          <w:noProof/>
          <w:lang w:eastAsia="ru-RU"/>
        </w:rPr>
        <w:pict>
          <v:shape id="Диаграмма 1" o:spid="_x0000_i1026" type="#_x0000_t75" style="width:429.75pt;height:12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">
            <v:imagedata r:id="rId7" o:title="" cropbottom="-53f"/>
            <o:lock v:ext="edit" aspectratio="f"/>
          </v:shape>
        </w:pict>
      </w:r>
    </w:p>
    <w:p w:rsidR="008D25CF" w:rsidRDefault="008D25CF" w:rsidP="002C3AF3">
      <w:pPr>
        <w:tabs>
          <w:tab w:val="left" w:pos="3405"/>
        </w:tabs>
      </w:pPr>
    </w:p>
    <w:p w:rsidR="008D25CF" w:rsidRDefault="008D25CF" w:rsidP="002C3AF3">
      <w:pPr>
        <w:tabs>
          <w:tab w:val="left" w:pos="3405"/>
        </w:tabs>
        <w:jc w:val="center"/>
        <w:rPr>
          <w:b/>
          <w:sz w:val="20"/>
        </w:rPr>
      </w:pPr>
      <w:r>
        <w:rPr>
          <w:b/>
          <w:sz w:val="20"/>
        </w:rPr>
        <w:t>Рис. 2. Динамика средних цен в секторах 1-комнатных, 2-комнатных и 3-комнатных квартир в первом квартале 2015 года</w:t>
      </w:r>
    </w:p>
    <w:p w:rsidR="008D25CF" w:rsidRDefault="008D25CF" w:rsidP="002C3AF3">
      <w:pPr>
        <w:tabs>
          <w:tab w:val="left" w:pos="3405"/>
        </w:tabs>
        <w:jc w:val="center"/>
      </w:pPr>
    </w:p>
    <w:p w:rsidR="008D25CF" w:rsidRDefault="008D25CF" w:rsidP="002C3AF3">
      <w:pPr>
        <w:tabs>
          <w:tab w:val="left" w:pos="3405"/>
        </w:tabs>
      </w:pPr>
      <w:r w:rsidRPr="003335E3">
        <w:t xml:space="preserve">Анализ динамики цен в секторах квартирного рынка в течение </w:t>
      </w:r>
      <w:r>
        <w:t>первого квартала</w:t>
      </w:r>
      <w:r w:rsidRPr="003335E3">
        <w:t xml:space="preserve"> </w:t>
      </w:r>
      <w:r>
        <w:t xml:space="preserve">2015 года (рис. 2) показал понижающие линейные тренды во всех трех секторах. </w:t>
      </w:r>
      <w:r w:rsidRPr="003335E3">
        <w:t xml:space="preserve"> </w:t>
      </w:r>
      <w:r>
        <w:t xml:space="preserve">В каждом из них, за время с января по март, величины двух среднемесячных приростов  цен были отрицательными. Наибольшее падение средней цены зафиксировано в секторе 1-о комнатных квартир.  За квартал средняя цена 1-о комнатной квартиры снизилась более, чем на 5%. </w:t>
      </w:r>
    </w:p>
    <w:p w:rsidR="008D25CF" w:rsidRDefault="008D25CF" w:rsidP="002C3AF3">
      <w:pPr>
        <w:tabs>
          <w:tab w:val="left" w:pos="3405"/>
        </w:tabs>
      </w:pPr>
      <w:r>
        <w:t xml:space="preserve">Результаты анализа развития ценовой ситуации в секторах 1-о и 3-х комнатных квартир показывают, что изменения цен на квартиры этих размеров продолжаются по наметившемуся  ранее в течение 2014 года понижательному тренду. В отличие от них в секторе 2-х комнатных квартир произошла коррекция движения цен и зафиксированный в 2014 году рост цен, сменился их снижением.  </w:t>
      </w:r>
    </w:p>
    <w:p w:rsidR="008D25CF" w:rsidRDefault="008D25CF" w:rsidP="002C3AF3">
      <w:pPr>
        <w:tabs>
          <w:tab w:val="left" w:pos="3405"/>
        </w:tabs>
      </w:pPr>
      <w:r w:rsidRPr="007D3903">
        <w:t>Ценовая ситуация на рынке складывается под влиянием взаимодействия факторов спроса и предложения.</w:t>
      </w:r>
      <w:r>
        <w:t xml:space="preserve"> </w:t>
      </w:r>
    </w:p>
    <w:p w:rsidR="008D25CF" w:rsidRDefault="008D25CF" w:rsidP="002C3AF3">
      <w:r>
        <w:t>На рис.3 представлена динамика ежемесячного объема рынка</w:t>
      </w:r>
      <w:r w:rsidRPr="00C91D7E">
        <w:t xml:space="preserve"> </w:t>
      </w:r>
      <w:r>
        <w:t xml:space="preserve">в первом квартале 2015 года, выраженного числом квартир, предлагаемых к продаже. </w:t>
      </w:r>
    </w:p>
    <w:p w:rsidR="008D25CF" w:rsidRDefault="008D25CF" w:rsidP="002C3AF3"/>
    <w:p w:rsidR="008D25CF" w:rsidRDefault="008D25CF" w:rsidP="002C3AF3">
      <w:pPr>
        <w:jc w:val="center"/>
      </w:pPr>
      <w:r>
        <w:rPr>
          <w:noProof/>
          <w:lang w:eastAsia="ru-RU"/>
        </w:rPr>
        <w:pict>
          <v:shape id="_x0000_i1027" type="#_x0000_t75" style="width:6in;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">
            <v:imagedata r:id="rId8" o:title=""/>
            <o:lock v:ext="edit" aspectratio="f"/>
          </v:shape>
        </w:pict>
      </w:r>
    </w:p>
    <w:p w:rsidR="008D25CF" w:rsidRDefault="008D25CF" w:rsidP="002C3AF3">
      <w:pPr>
        <w:jc w:val="center"/>
      </w:pPr>
    </w:p>
    <w:p w:rsidR="008D25CF" w:rsidRDefault="008D25CF" w:rsidP="002C3AF3">
      <w:pPr>
        <w:tabs>
          <w:tab w:val="left" w:pos="3405"/>
        </w:tabs>
        <w:jc w:val="center"/>
        <w:rPr>
          <w:b/>
          <w:sz w:val="20"/>
        </w:rPr>
      </w:pPr>
      <w:r>
        <w:rPr>
          <w:b/>
          <w:sz w:val="20"/>
        </w:rPr>
        <w:t>Рис. 3.  Динамика  числа предложений продажи квартир в первом квартале 2015 года</w:t>
      </w:r>
    </w:p>
    <w:p w:rsidR="008D25CF" w:rsidRDefault="008D25CF" w:rsidP="002C3AF3">
      <w:pPr>
        <w:tabs>
          <w:tab w:val="left" w:pos="3405"/>
        </w:tabs>
        <w:jc w:val="center"/>
        <w:rPr>
          <w:b/>
          <w:sz w:val="20"/>
        </w:rPr>
      </w:pPr>
    </w:p>
    <w:p w:rsidR="008D25CF" w:rsidRDefault="008D25CF" w:rsidP="002C3AF3">
      <w:pPr>
        <w:tabs>
          <w:tab w:val="left" w:pos="3405"/>
        </w:tabs>
      </w:pPr>
      <w:r>
        <w:t xml:space="preserve">В текущем году после январского затишья (рис. 3)  на квартирном рынке также начался подъем активности. За период февраль – март коэффициент роста составил 1,24, а прирост, соответственно, 24%. Такая значительная величина прироста обусловлена чрезвычайно низким объемом рынка в январе или, другими словами, низкой базой. Количество квартир, выставленных на продажу в первый месяц текущего года по сравнению с декабрем 2014, сократилось почти вдвое. Величина январского объема рынка приблизительно равна его величине в августе – сентябре 2007 года.   </w:t>
      </w:r>
    </w:p>
    <w:p w:rsidR="008D25CF" w:rsidRDefault="008D25CF" w:rsidP="002C3AF3">
      <w:pPr>
        <w:tabs>
          <w:tab w:val="left" w:pos="3405"/>
        </w:tabs>
      </w:pPr>
      <w:r>
        <w:t xml:space="preserve">Такое стремительное сужение рынка, в сочетании с незначительной коррекцией –  ростом средней удельной цены, свидетельствует о стремлении рынка преодолеть снижение цен, обусловленное нежеланием продавцов выставлять на продажу квартиры по складывающейся цене. </w:t>
      </w:r>
    </w:p>
    <w:p w:rsidR="008D25CF" w:rsidRDefault="008D25CF" w:rsidP="002C3AF3">
      <w:pPr>
        <w:tabs>
          <w:tab w:val="left" w:pos="3405"/>
        </w:tabs>
      </w:pPr>
      <w:r>
        <w:t>Таким образом, характеризуя развитие ценовой ситуации на квартирном рынке Твери в начальный период 2015 года, можно констатировать следующее:</w:t>
      </w:r>
    </w:p>
    <w:p w:rsidR="008D25CF" w:rsidRDefault="008D25CF" w:rsidP="002C3AF3">
      <w:pPr>
        <w:tabs>
          <w:tab w:val="left" w:pos="3405"/>
        </w:tabs>
      </w:pPr>
      <w:r>
        <w:t xml:space="preserve">наиболее общий показатель состояния рынка средняя цена 1 кв.м. жилой площади или средняя удельная цена на территории города </w:t>
      </w:r>
      <w:r w:rsidRPr="00EE1A67">
        <w:t xml:space="preserve">продолжила </w:t>
      </w:r>
      <w:r>
        <w:t xml:space="preserve">хотя и небольшое </w:t>
      </w:r>
      <w:r w:rsidRPr="00EE1A67">
        <w:t>снижение</w:t>
      </w:r>
      <w:r>
        <w:t>, начавшееся в 2014 году;</w:t>
      </w:r>
    </w:p>
    <w:p w:rsidR="008D25CF" w:rsidRDefault="008D25CF" w:rsidP="002C3AF3">
      <w:pPr>
        <w:tabs>
          <w:tab w:val="left" w:pos="3405"/>
        </w:tabs>
      </w:pPr>
      <w:r>
        <w:t xml:space="preserve">абсолютные цены квартир в каждом из трех секторов, образующих рынок, также имеют понижательные тренды. Наиболее значительное снижение средней цены на 5%  зафиксировано в секторе 1-о комнатных квартир; </w:t>
      </w:r>
    </w:p>
    <w:p w:rsidR="008D25CF" w:rsidRDefault="008D25CF" w:rsidP="002C3AF3">
      <w:pPr>
        <w:tabs>
          <w:tab w:val="left" w:pos="3405"/>
        </w:tabs>
      </w:pPr>
      <w:r>
        <w:t xml:space="preserve">стремительное уменьшение показателя объема рынка – среднее значение этого показателя за первый квартал  текущего года в два раза меньше, чем за тот же период прошлого года говорит о дальнейшем сужении рынка. </w:t>
      </w:r>
    </w:p>
    <w:p w:rsidR="008D25CF" w:rsidRDefault="008D25CF" w:rsidP="002C3AF3">
      <w:pPr>
        <w:tabs>
          <w:tab w:val="left" w:pos="3405"/>
        </w:tabs>
      </w:pPr>
      <w:r>
        <w:t>На основании выявленных тенденций можно предположить, что в ближайшей перспективе на квартирном рынке Твери продолжиться дефляция. Этот вывод также подтверждается неблагоприятным влиянием на развитие рынка таких фундаментальных факторов как высокий процент по ипотеке, снижение реальных доходов населения, высокий уровень неопределенности внешне экономических и политических условий.</w:t>
      </w:r>
    </w:p>
    <w:p w:rsidR="008D25CF" w:rsidRDefault="008D25CF" w:rsidP="002C3AF3">
      <w:pPr>
        <w:tabs>
          <w:tab w:val="left" w:pos="3405"/>
        </w:tabs>
      </w:pPr>
    </w:p>
    <w:p w:rsidR="008D25CF" w:rsidRDefault="008D25CF" w:rsidP="002C3AF3">
      <w:pPr>
        <w:tabs>
          <w:tab w:val="left" w:pos="1100"/>
          <w:tab w:val="left" w:pos="6345"/>
        </w:tabs>
        <w:ind w:firstLine="1100"/>
        <w:jc w:val="right"/>
      </w:pPr>
    </w:p>
    <w:p w:rsidR="008D25CF" w:rsidRDefault="008D25CF" w:rsidP="001777EF">
      <w:pPr>
        <w:pStyle w:val="Heading6"/>
        <w:spacing w:before="0" w:after="0"/>
        <w:ind w:right="-1" w:firstLine="4536"/>
        <w:jc w:val="right"/>
        <w:rPr>
          <w:b w:val="0"/>
          <w:sz w:val="24"/>
          <w:szCs w:val="24"/>
        </w:rPr>
      </w:pPr>
      <w:r>
        <w:rPr>
          <w:b w:val="0"/>
          <w:sz w:val="24"/>
          <w:szCs w:val="24"/>
        </w:rPr>
        <w:t>Зав. отделом анализа рынка</w:t>
      </w:r>
    </w:p>
    <w:p w:rsidR="008D25CF" w:rsidRDefault="008D25CF" w:rsidP="001777EF">
      <w:pPr>
        <w:jc w:val="right"/>
      </w:pPr>
      <w:r>
        <w:t xml:space="preserve">                                                                                   ООО "ТИТАН-ОЦЕНКА"</w:t>
      </w:r>
    </w:p>
    <w:p w:rsidR="008D25CF" w:rsidRDefault="008D25CF" w:rsidP="001777EF">
      <w:pPr>
        <w:jc w:val="right"/>
      </w:pPr>
      <w:r>
        <w:t xml:space="preserve">                                                                                                             Е.И. Песня</w:t>
      </w:r>
    </w:p>
    <w:p w:rsidR="008D25CF" w:rsidRDefault="008D25CF" w:rsidP="002C3AF3">
      <w:pPr>
        <w:tabs>
          <w:tab w:val="left" w:pos="1100"/>
          <w:tab w:val="left" w:pos="6345"/>
        </w:tabs>
        <w:ind w:firstLine="1100"/>
        <w:jc w:val="right"/>
      </w:pPr>
    </w:p>
    <w:p w:rsidR="008D25CF" w:rsidRDefault="008D25CF" w:rsidP="002C3AF3">
      <w:pPr>
        <w:tabs>
          <w:tab w:val="left" w:pos="1100"/>
          <w:tab w:val="left" w:pos="6345"/>
        </w:tabs>
        <w:ind w:firstLine="1100"/>
        <w:jc w:val="right"/>
      </w:pPr>
      <w:r>
        <w:t>Президент группы компаний "ТИТАН</w:t>
      </w:r>
      <w:r w:rsidRPr="004C1106">
        <w:t>”</w:t>
      </w:r>
      <w:r>
        <w:t>,</w:t>
      </w:r>
    </w:p>
    <w:p w:rsidR="008D25CF" w:rsidRDefault="008D25CF" w:rsidP="002C3AF3">
      <w:pPr>
        <w:tabs>
          <w:tab w:val="left" w:pos="1100"/>
          <w:tab w:val="left" w:pos="6345"/>
        </w:tabs>
        <w:ind w:firstLine="1100"/>
        <w:jc w:val="right"/>
      </w:pPr>
      <w:r>
        <w:t>сертифицированный РГР аналитик рынка недвижимости,</w:t>
      </w:r>
    </w:p>
    <w:p w:rsidR="008D25CF" w:rsidRDefault="008D25CF" w:rsidP="002C3AF3">
      <w:pPr>
        <w:tabs>
          <w:tab w:val="left" w:pos="1100"/>
          <w:tab w:val="left" w:pos="6345"/>
        </w:tabs>
        <w:ind w:firstLine="1100"/>
        <w:jc w:val="right"/>
      </w:pPr>
      <w:r>
        <w:t xml:space="preserve">кандидат технических наук </w:t>
      </w:r>
    </w:p>
    <w:p w:rsidR="008D25CF" w:rsidRDefault="008D25CF" w:rsidP="002C3AF3">
      <w:pPr>
        <w:tabs>
          <w:tab w:val="left" w:pos="4365"/>
        </w:tabs>
        <w:jc w:val="right"/>
      </w:pPr>
      <w:r>
        <w:t>В.Н.Каминский</w:t>
      </w:r>
    </w:p>
    <w:p w:rsidR="008D25CF" w:rsidRDefault="008D25CF" w:rsidP="002C3AF3">
      <w:pPr>
        <w:tabs>
          <w:tab w:val="left" w:pos="3405"/>
        </w:tabs>
      </w:pPr>
    </w:p>
    <w:p w:rsidR="008D25CF" w:rsidRDefault="008D25CF" w:rsidP="002C3AF3">
      <w:pPr>
        <w:tabs>
          <w:tab w:val="left" w:pos="3405"/>
        </w:tabs>
      </w:pPr>
    </w:p>
    <w:p w:rsidR="008D25CF" w:rsidRPr="00070810" w:rsidRDefault="008D25CF" w:rsidP="002C3AF3">
      <w:pPr>
        <w:shd w:val="clear" w:color="auto" w:fill="FFFFFF"/>
        <w:spacing w:after="240" w:line="270" w:lineRule="atLeast"/>
        <w:rPr>
          <w:color w:val="393838"/>
          <w:lang w:eastAsia="ru-RU"/>
        </w:rPr>
      </w:pPr>
    </w:p>
    <w:p w:rsidR="008D25CF" w:rsidRDefault="008D25CF" w:rsidP="002C3AF3"/>
    <w:p w:rsidR="008D25CF" w:rsidRDefault="008D25CF"/>
    <w:sectPr w:rsidR="008D25CF" w:rsidSect="00F23D3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5CF" w:rsidRDefault="008D25CF" w:rsidP="00EB1400">
      <w:pPr>
        <w:spacing w:line="240" w:lineRule="auto"/>
      </w:pPr>
      <w:r>
        <w:separator/>
      </w:r>
    </w:p>
  </w:endnote>
  <w:endnote w:type="continuationSeparator" w:id="0">
    <w:p w:rsidR="008D25CF" w:rsidRDefault="008D25CF" w:rsidP="00EB14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CF" w:rsidRDefault="008D25CF">
    <w:pPr>
      <w:pStyle w:val="Footer"/>
      <w:jc w:val="right"/>
    </w:pPr>
    <w:fldSimple w:instr=" PAGE   \* MERGEFORMAT ">
      <w:r>
        <w:rPr>
          <w:noProof/>
        </w:rPr>
        <w:t>4</w:t>
      </w:r>
    </w:fldSimple>
  </w:p>
  <w:p w:rsidR="008D25CF" w:rsidRDefault="008D2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5CF" w:rsidRDefault="008D25CF" w:rsidP="00EB1400">
      <w:pPr>
        <w:spacing w:line="240" w:lineRule="auto"/>
      </w:pPr>
      <w:r>
        <w:separator/>
      </w:r>
    </w:p>
  </w:footnote>
  <w:footnote w:type="continuationSeparator" w:id="0">
    <w:p w:rsidR="008D25CF" w:rsidRDefault="008D25CF" w:rsidP="00EB140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AF3"/>
    <w:rsid w:val="00006BCC"/>
    <w:rsid w:val="000143C2"/>
    <w:rsid w:val="00031498"/>
    <w:rsid w:val="00031828"/>
    <w:rsid w:val="00070810"/>
    <w:rsid w:val="00072D26"/>
    <w:rsid w:val="0009644F"/>
    <w:rsid w:val="00105AB7"/>
    <w:rsid w:val="00105E9D"/>
    <w:rsid w:val="00135C3F"/>
    <w:rsid w:val="00172150"/>
    <w:rsid w:val="001777EF"/>
    <w:rsid w:val="00181C82"/>
    <w:rsid w:val="001D39D4"/>
    <w:rsid w:val="001E1E87"/>
    <w:rsid w:val="001F1D84"/>
    <w:rsid w:val="001F54A6"/>
    <w:rsid w:val="00232A52"/>
    <w:rsid w:val="002C3AF3"/>
    <w:rsid w:val="0030127C"/>
    <w:rsid w:val="003335E3"/>
    <w:rsid w:val="00337E41"/>
    <w:rsid w:val="003F3FB8"/>
    <w:rsid w:val="0040594D"/>
    <w:rsid w:val="004C1106"/>
    <w:rsid w:val="004E2025"/>
    <w:rsid w:val="00536CEA"/>
    <w:rsid w:val="0059432F"/>
    <w:rsid w:val="005D0BCF"/>
    <w:rsid w:val="007651DB"/>
    <w:rsid w:val="00783A1D"/>
    <w:rsid w:val="007D3903"/>
    <w:rsid w:val="00864B0C"/>
    <w:rsid w:val="008D25CF"/>
    <w:rsid w:val="008D4454"/>
    <w:rsid w:val="00992D8B"/>
    <w:rsid w:val="009E4273"/>
    <w:rsid w:val="00A2734B"/>
    <w:rsid w:val="00B36260"/>
    <w:rsid w:val="00B656EE"/>
    <w:rsid w:val="00C67AC9"/>
    <w:rsid w:val="00C91D7E"/>
    <w:rsid w:val="00DA394D"/>
    <w:rsid w:val="00DB6466"/>
    <w:rsid w:val="00E0280A"/>
    <w:rsid w:val="00E035C9"/>
    <w:rsid w:val="00E622CE"/>
    <w:rsid w:val="00EB1400"/>
    <w:rsid w:val="00ED0B67"/>
    <w:rsid w:val="00ED2788"/>
    <w:rsid w:val="00EE1A67"/>
    <w:rsid w:val="00EF2271"/>
    <w:rsid w:val="00F23D3A"/>
    <w:rsid w:val="00F339BD"/>
    <w:rsid w:val="00F76B0E"/>
    <w:rsid w:val="00F807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F3"/>
    <w:pPr>
      <w:spacing w:line="264" w:lineRule="auto"/>
      <w:ind w:firstLine="709"/>
      <w:jc w:val="both"/>
    </w:pPr>
    <w:rPr>
      <w:sz w:val="24"/>
      <w:szCs w:val="24"/>
      <w:lang w:eastAsia="en-US"/>
    </w:rPr>
  </w:style>
  <w:style w:type="paragraph" w:styleId="Heading6">
    <w:name w:val="heading 6"/>
    <w:basedOn w:val="Normal"/>
    <w:next w:val="Normal"/>
    <w:link w:val="Heading6Char"/>
    <w:uiPriority w:val="99"/>
    <w:qFormat/>
    <w:locked/>
    <w:rsid w:val="001777EF"/>
    <w:pPr>
      <w:spacing w:before="240" w:after="60" w:line="276" w:lineRule="auto"/>
      <w:ind w:firstLine="0"/>
      <w:jc w:val="left"/>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1777EF"/>
    <w:rPr>
      <w:rFonts w:cs="Times New Roman"/>
      <w:b/>
      <w:bCs/>
      <w:sz w:val="22"/>
      <w:szCs w:val="22"/>
      <w:lang w:val="ru-RU" w:eastAsia="en-US" w:bidi="ar-SA"/>
    </w:rPr>
  </w:style>
  <w:style w:type="paragraph" w:styleId="Footer">
    <w:name w:val="footer"/>
    <w:basedOn w:val="Normal"/>
    <w:link w:val="FooterChar"/>
    <w:uiPriority w:val="99"/>
    <w:rsid w:val="002C3AF3"/>
    <w:pPr>
      <w:tabs>
        <w:tab w:val="center" w:pos="4677"/>
        <w:tab w:val="right" w:pos="9355"/>
      </w:tabs>
      <w:spacing w:line="240" w:lineRule="auto"/>
    </w:pPr>
  </w:style>
  <w:style w:type="character" w:customStyle="1" w:styleId="FooterChar">
    <w:name w:val="Footer Char"/>
    <w:basedOn w:val="DefaultParagraphFont"/>
    <w:link w:val="Footer"/>
    <w:uiPriority w:val="99"/>
    <w:locked/>
    <w:rsid w:val="002C3AF3"/>
    <w:rPr>
      <w:rFonts w:cs="Times New Roman"/>
      <w:sz w:val="24"/>
      <w:szCs w:val="24"/>
    </w:rPr>
  </w:style>
  <w:style w:type="table" w:styleId="TableGrid">
    <w:name w:val="Table Grid"/>
    <w:basedOn w:val="TableNormal"/>
    <w:uiPriority w:val="99"/>
    <w:rsid w:val="002C3A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3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432</TotalTime>
  <Pages>4</Pages>
  <Words>1315</Words>
  <Characters>7501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титан</dc:creator>
  <cp:keywords/>
  <dc:description/>
  <cp:lastModifiedBy>КВН</cp:lastModifiedBy>
  <cp:revision>7</cp:revision>
  <dcterms:created xsi:type="dcterms:W3CDTF">2015-04-13T12:06:00Z</dcterms:created>
  <dcterms:modified xsi:type="dcterms:W3CDTF">2015-04-18T15:20:00Z</dcterms:modified>
</cp:coreProperties>
</file>