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35" w:rsidRPr="00CC30B9" w:rsidRDefault="008B6E35" w:rsidP="003C7084">
      <w:pPr>
        <w:rPr>
          <w:rFonts w:cs="Arial"/>
          <w:b/>
          <w:color w:val="365F91" w:themeColor="accent1" w:themeShade="BF"/>
        </w:rPr>
      </w:pPr>
    </w:p>
    <w:p w:rsidR="003C7084" w:rsidRPr="00CC30B9" w:rsidRDefault="002739EC" w:rsidP="003C7084">
      <w:pPr>
        <w:rPr>
          <w:rFonts w:cs="Arial"/>
          <w:b/>
          <w:color w:val="365F91" w:themeColor="accent1" w:themeShade="BF"/>
          <w:sz w:val="28"/>
          <w:szCs w:val="28"/>
        </w:rPr>
      </w:pPr>
      <w:r w:rsidRPr="00CC30B9">
        <w:rPr>
          <w:rFonts w:cs="Arial"/>
          <w:b/>
          <w:color w:val="365F91" w:themeColor="accent1" w:themeShade="BF"/>
          <w:sz w:val="28"/>
          <w:szCs w:val="28"/>
        </w:rPr>
        <w:t>3 квартал</w:t>
      </w:r>
      <w:r w:rsidR="003C7084" w:rsidRPr="00CC30B9">
        <w:rPr>
          <w:rFonts w:cs="Arial"/>
          <w:b/>
          <w:color w:val="365F91" w:themeColor="accent1" w:themeShade="BF"/>
          <w:sz w:val="28"/>
          <w:szCs w:val="28"/>
        </w:rPr>
        <w:t xml:space="preserve"> 201</w:t>
      </w:r>
      <w:r w:rsidR="00DC1BBE" w:rsidRPr="00CC30B9">
        <w:rPr>
          <w:rFonts w:cs="Arial"/>
          <w:b/>
          <w:color w:val="365F91" w:themeColor="accent1" w:themeShade="BF"/>
          <w:sz w:val="28"/>
          <w:szCs w:val="28"/>
        </w:rPr>
        <w:t>5</w:t>
      </w:r>
      <w:r w:rsidR="003C7084" w:rsidRPr="00CC30B9">
        <w:rPr>
          <w:rFonts w:cs="Arial"/>
          <w:b/>
          <w:color w:val="365F91" w:themeColor="accent1" w:themeShade="BF"/>
          <w:sz w:val="28"/>
          <w:szCs w:val="28"/>
        </w:rPr>
        <w:t xml:space="preserve"> года</w:t>
      </w:r>
    </w:p>
    <w:p w:rsidR="003C7084" w:rsidRPr="00CC30B9" w:rsidRDefault="003C7084" w:rsidP="003C7084">
      <w:pPr>
        <w:rPr>
          <w:rFonts w:cs="Arial"/>
          <w:b/>
          <w:color w:val="244061" w:themeColor="accent1" w:themeShade="80"/>
          <w:sz w:val="28"/>
          <w:szCs w:val="28"/>
        </w:rPr>
      </w:pPr>
      <w:r w:rsidRPr="00CC30B9">
        <w:rPr>
          <w:rFonts w:cs="Arial"/>
          <w:b/>
          <w:color w:val="244061" w:themeColor="accent1" w:themeShade="80"/>
          <w:sz w:val="28"/>
          <w:szCs w:val="28"/>
        </w:rPr>
        <w:t>ОБЗОР РЫНКА ЗАГОРОДНОЙ НЕДВИЖИМОСТИ</w:t>
      </w:r>
    </w:p>
    <w:p w:rsidR="003C7084" w:rsidRPr="00CC30B9" w:rsidRDefault="003C7084" w:rsidP="003C7084">
      <w:pPr>
        <w:rPr>
          <w:rFonts w:cs="Arial"/>
          <w:color w:val="365F91" w:themeColor="accent1" w:themeShade="BF"/>
          <w:sz w:val="28"/>
          <w:szCs w:val="28"/>
        </w:rPr>
      </w:pPr>
      <w:r w:rsidRPr="00CC30B9">
        <w:rPr>
          <w:rFonts w:cs="Arial"/>
          <w:color w:val="365F91" w:themeColor="accent1" w:themeShade="BF"/>
          <w:sz w:val="28"/>
          <w:szCs w:val="28"/>
        </w:rPr>
        <w:t>Тюмень</w:t>
      </w:r>
      <w:r w:rsidRPr="00CC30B9">
        <w:rPr>
          <w:rStyle w:val="a5"/>
          <w:rFonts w:cs="Arial"/>
          <w:color w:val="365F91" w:themeColor="accent1" w:themeShade="BF"/>
          <w:sz w:val="28"/>
          <w:szCs w:val="28"/>
        </w:rPr>
        <w:footnoteReference w:id="1"/>
      </w:r>
    </w:p>
    <w:p w:rsidR="00056CE9" w:rsidRPr="00CC30B9" w:rsidRDefault="002739EC" w:rsidP="003C7084">
      <w:pPr>
        <w:ind w:left="-1701"/>
      </w:pPr>
      <w:r w:rsidRPr="00CC30B9">
        <w:rPr>
          <w:noProof/>
        </w:rPr>
        <w:drawing>
          <wp:inline distT="0" distB="0" distL="0" distR="0">
            <wp:extent cx="7534275" cy="5650707"/>
            <wp:effectExtent l="0" t="0" r="0" b="7620"/>
            <wp:docPr id="4" name="Рисунок 4" descr="http://cdn.gdeetotdom.ru/p/9b4f0dae33846e184560ed26c8211908/nastol.com.ua-2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deetotdom.ru/p/9b4f0dae33846e184560ed26c8211908/nastol.com.ua-24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73" cy="56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C9" w:rsidRPr="00CC30B9" w:rsidRDefault="001B1ADC" w:rsidP="002B2B52">
      <w:pPr>
        <w:pStyle w:val="af"/>
        <w:numPr>
          <w:ilvl w:val="0"/>
          <w:numId w:val="1"/>
        </w:numPr>
        <w:jc w:val="both"/>
        <w:rPr>
          <w:rFonts w:cs="Arial"/>
        </w:rPr>
      </w:pPr>
      <w:r w:rsidRPr="00CC30B9">
        <w:rPr>
          <w:rFonts w:cs="Arial"/>
        </w:rPr>
        <w:t xml:space="preserve">В </w:t>
      </w:r>
      <w:r w:rsidR="008F6B7F" w:rsidRPr="00CC30B9">
        <w:rPr>
          <w:rFonts w:cs="Arial"/>
        </w:rPr>
        <w:t xml:space="preserve">3 квартале наблюдается снижение покупательской активности на рынке загородной недвижимости. </w:t>
      </w:r>
    </w:p>
    <w:p w:rsidR="009A68DE" w:rsidRPr="00CC30B9" w:rsidRDefault="00CC30B9" w:rsidP="002B2B52">
      <w:pPr>
        <w:pStyle w:val="af"/>
        <w:numPr>
          <w:ilvl w:val="0"/>
          <w:numId w:val="1"/>
        </w:numPr>
        <w:jc w:val="both"/>
        <w:rPr>
          <w:rFonts w:cs="Arial"/>
        </w:rPr>
      </w:pPr>
      <w:r w:rsidRPr="00CC30B9">
        <w:rPr>
          <w:rFonts w:cs="Arial"/>
        </w:rPr>
        <w:t>Продолжается рост объема предложения</w:t>
      </w:r>
      <w:r w:rsidR="008F6B7F" w:rsidRPr="00CC30B9">
        <w:rPr>
          <w:rFonts w:cs="Arial"/>
        </w:rPr>
        <w:t>, темп прироста ко 2 кварталу составил 6,5% (↑)</w:t>
      </w:r>
    </w:p>
    <w:p w:rsidR="008F6B7F" w:rsidRPr="00CC30B9" w:rsidRDefault="008F6B7F" w:rsidP="002B2B52">
      <w:pPr>
        <w:pStyle w:val="af"/>
        <w:numPr>
          <w:ilvl w:val="0"/>
          <w:numId w:val="1"/>
        </w:numPr>
        <w:jc w:val="both"/>
        <w:rPr>
          <w:rFonts w:cs="Arial"/>
        </w:rPr>
      </w:pPr>
      <w:r w:rsidRPr="00CC30B9">
        <w:rPr>
          <w:rFonts w:cs="Arial"/>
        </w:rPr>
        <w:t>Увеличение объема предложения в разрезе по типам недвижимости составил по 6-</w:t>
      </w:r>
      <w:r w:rsidR="00CC30B9" w:rsidRPr="00CC30B9">
        <w:rPr>
          <w:rFonts w:cs="Arial"/>
        </w:rPr>
        <w:t>8</w:t>
      </w:r>
      <w:r w:rsidRPr="00CC30B9">
        <w:rPr>
          <w:rFonts w:cs="Arial"/>
        </w:rPr>
        <w:t xml:space="preserve">% (кроме </w:t>
      </w:r>
      <w:proofErr w:type="spellStart"/>
      <w:r w:rsidRPr="00CC30B9">
        <w:rPr>
          <w:rFonts w:cs="Arial"/>
        </w:rPr>
        <w:t>таунхаусов</w:t>
      </w:r>
      <w:proofErr w:type="spellEnd"/>
      <w:r w:rsidRPr="00CC30B9">
        <w:rPr>
          <w:rFonts w:cs="Arial"/>
        </w:rPr>
        <w:t>)</w:t>
      </w:r>
    </w:p>
    <w:p w:rsidR="004A5BBF" w:rsidRPr="00CC30B9" w:rsidRDefault="00B5387B" w:rsidP="00B5387B">
      <w:pPr>
        <w:pStyle w:val="af"/>
        <w:numPr>
          <w:ilvl w:val="0"/>
          <w:numId w:val="1"/>
        </w:numPr>
        <w:jc w:val="both"/>
        <w:rPr>
          <w:rFonts w:cs="Arial"/>
        </w:rPr>
      </w:pPr>
      <w:r w:rsidRPr="00CC30B9">
        <w:rPr>
          <w:rFonts w:cs="Arial"/>
        </w:rPr>
        <w:t xml:space="preserve">Удельная цена предложения земельных участков в 3 квартале 2015г. </w:t>
      </w:r>
      <w:r w:rsidR="00CC30B9" w:rsidRPr="00CC30B9">
        <w:rPr>
          <w:rFonts w:cs="Arial"/>
        </w:rPr>
        <w:t>сложилась на уровне</w:t>
      </w:r>
      <w:r w:rsidRPr="00CC30B9">
        <w:rPr>
          <w:rFonts w:cs="Arial"/>
        </w:rPr>
        <w:t xml:space="preserve"> 77284 руб., что на 392 руб. м</w:t>
      </w:r>
      <w:r w:rsidR="00CC30B9" w:rsidRPr="00CC30B9">
        <w:rPr>
          <w:rFonts w:cs="Arial"/>
        </w:rPr>
        <w:t>еньше, чем в предыдущем анализируемом периоде</w:t>
      </w:r>
      <w:r w:rsidRPr="00CC30B9">
        <w:rPr>
          <w:rFonts w:cs="Arial"/>
        </w:rPr>
        <w:t>.</w:t>
      </w:r>
      <w:r w:rsidRPr="00CC30B9">
        <w:rPr>
          <w:rFonts w:cs="Arial"/>
          <w:highlight w:val="yellow"/>
        </w:rPr>
        <w:t xml:space="preserve"> </w:t>
      </w:r>
      <w:r w:rsidR="00056CE9" w:rsidRPr="00CC30B9">
        <w:br w:type="page"/>
      </w:r>
    </w:p>
    <w:p w:rsidR="00056CE9" w:rsidRPr="00CC30B9" w:rsidRDefault="002739EC" w:rsidP="00056CE9">
      <w:pPr>
        <w:spacing w:after="0" w:line="240" w:lineRule="auto"/>
        <w:ind w:left="-284"/>
        <w:rPr>
          <w:rFonts w:cs="Arial"/>
          <w:b/>
        </w:rPr>
      </w:pPr>
      <w:r w:rsidRPr="00CC30B9">
        <w:rPr>
          <w:rFonts w:cs="Arial"/>
          <w:b/>
        </w:rPr>
        <w:lastRenderedPageBreak/>
        <w:t>3</w:t>
      </w:r>
      <w:r w:rsidR="00056CE9" w:rsidRPr="00CC30B9">
        <w:rPr>
          <w:rFonts w:cs="Arial"/>
          <w:b/>
        </w:rPr>
        <w:t xml:space="preserve"> квартал 201</w:t>
      </w:r>
      <w:r w:rsidR="00DC1BBE" w:rsidRPr="00CC30B9">
        <w:rPr>
          <w:rFonts w:cs="Arial"/>
          <w:b/>
        </w:rPr>
        <w:t>5</w:t>
      </w:r>
      <w:r w:rsidR="00056CE9" w:rsidRPr="00CC30B9">
        <w:rPr>
          <w:rFonts w:cs="Arial"/>
          <w:b/>
        </w:rPr>
        <w:t xml:space="preserve"> года</w:t>
      </w:r>
    </w:p>
    <w:p w:rsidR="00056CE9" w:rsidRPr="00CC30B9" w:rsidRDefault="00056CE9" w:rsidP="00056CE9">
      <w:pPr>
        <w:spacing w:after="0" w:line="240" w:lineRule="auto"/>
        <w:ind w:left="-284"/>
        <w:rPr>
          <w:rFonts w:cs="Arial"/>
          <w:b/>
        </w:rPr>
      </w:pPr>
      <w:r w:rsidRPr="00CC30B9">
        <w:rPr>
          <w:rFonts w:cs="Arial"/>
          <w:b/>
        </w:rPr>
        <w:t>ОБЗ</w:t>
      </w:r>
      <w:bookmarkStart w:id="0" w:name="_GoBack"/>
      <w:bookmarkEnd w:id="0"/>
      <w:r w:rsidRPr="00CC30B9">
        <w:rPr>
          <w:rFonts w:cs="Arial"/>
          <w:b/>
        </w:rPr>
        <w:t>ОР РЫНКА ЗАГОРОДНОЙ НЕДВИЖИМОСТИ</w:t>
      </w:r>
    </w:p>
    <w:p w:rsidR="00056CE9" w:rsidRPr="00CC30B9" w:rsidRDefault="00056CE9" w:rsidP="00056CE9">
      <w:pPr>
        <w:spacing w:after="0" w:line="240" w:lineRule="auto"/>
        <w:ind w:left="-284"/>
        <w:rPr>
          <w:rFonts w:cs="Arial"/>
          <w:b/>
        </w:rPr>
      </w:pPr>
      <w:r w:rsidRPr="00CC30B9">
        <w:rPr>
          <w:rFonts w:cs="Arial"/>
          <w:b/>
        </w:rPr>
        <w:t>Тюмень</w:t>
      </w:r>
    </w:p>
    <w:p w:rsidR="00056CE9" w:rsidRPr="00CC30B9" w:rsidRDefault="00056CE9" w:rsidP="00056CE9">
      <w:pPr>
        <w:spacing w:after="0" w:line="240" w:lineRule="auto"/>
        <w:ind w:left="-284"/>
        <w:rPr>
          <w:rFonts w:cs="Arial"/>
          <w:b/>
        </w:rPr>
      </w:pPr>
    </w:p>
    <w:p w:rsidR="00056CE9" w:rsidRPr="00CC30B9" w:rsidRDefault="004A5BBF" w:rsidP="004A5BBF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bookmarkStart w:id="1" w:name="_Toc400983659"/>
      <w:bookmarkStart w:id="2" w:name="_Toc401047136"/>
      <w:r w:rsidRPr="00CC30B9">
        <w:rPr>
          <w:rFonts w:asciiTheme="minorHAnsi" w:hAnsiTheme="minorHAnsi" w:cs="Arial"/>
          <w:color w:val="auto"/>
          <w:sz w:val="22"/>
          <w:szCs w:val="22"/>
        </w:rPr>
        <w:t xml:space="preserve">1. </w:t>
      </w:r>
      <w:r w:rsidR="00056CE9" w:rsidRPr="00CC30B9">
        <w:rPr>
          <w:rFonts w:asciiTheme="minorHAnsi" w:hAnsiTheme="minorHAnsi" w:cs="Arial"/>
          <w:color w:val="auto"/>
          <w:sz w:val="22"/>
          <w:szCs w:val="22"/>
        </w:rPr>
        <w:t>ОБЩАЯ СИТУАЦИЯ</w:t>
      </w:r>
      <w:bookmarkEnd w:id="1"/>
      <w:bookmarkEnd w:id="2"/>
    </w:p>
    <w:p w:rsidR="004A5BBF" w:rsidRPr="00CC30B9" w:rsidRDefault="004A5BBF" w:rsidP="006D0AB8">
      <w:pPr>
        <w:ind w:left="-284"/>
        <w:rPr>
          <w:rFonts w:cs="Arial"/>
          <w:b/>
        </w:rPr>
      </w:pPr>
    </w:p>
    <w:p w:rsidR="00050841" w:rsidRPr="00CC30B9" w:rsidRDefault="006D0AB8" w:rsidP="006D0AB8">
      <w:pPr>
        <w:ind w:left="-284"/>
        <w:rPr>
          <w:rFonts w:cs="Arial"/>
          <w:b/>
        </w:rPr>
      </w:pPr>
      <w:r w:rsidRPr="00CC30B9">
        <w:rPr>
          <w:rFonts w:cs="Arial"/>
          <w:b/>
        </w:rPr>
        <w:t>Сезонность и о</w:t>
      </w:r>
      <w:r w:rsidR="00056CE9" w:rsidRPr="00CC30B9">
        <w:rPr>
          <w:rFonts w:cs="Arial"/>
          <w:b/>
        </w:rPr>
        <w:t>бъем предложения</w:t>
      </w:r>
    </w:p>
    <w:p w:rsidR="00E56CC9" w:rsidRPr="00CC30B9" w:rsidRDefault="00EB56ED" w:rsidP="00E56CC9">
      <w:pPr>
        <w:spacing w:after="0"/>
        <w:ind w:left="-284"/>
        <w:jc w:val="both"/>
        <w:rPr>
          <w:rFonts w:cs="Arial"/>
        </w:rPr>
      </w:pPr>
      <w:r w:rsidRPr="00CC30B9">
        <w:rPr>
          <w:rFonts w:cs="Arial"/>
        </w:rPr>
        <w:t xml:space="preserve">После высокой активности покупателей в июне 2015г. наблюдается снижение спроса на рынке загородной недвижимости. Количество заявок в сентябре находится на уровне февраля </w:t>
      </w:r>
      <w:r w:rsidR="00CC30B9" w:rsidRPr="00CC30B9">
        <w:rPr>
          <w:rFonts w:cs="Arial"/>
        </w:rPr>
        <w:t>текущего</w:t>
      </w:r>
      <w:r w:rsidRPr="00CC30B9">
        <w:rPr>
          <w:rFonts w:cs="Arial"/>
        </w:rPr>
        <w:t xml:space="preserve"> года, снижение показателя по сравнению с августом 2015г. – 24,7% (↓).</w:t>
      </w:r>
    </w:p>
    <w:p w:rsidR="00EB56ED" w:rsidRPr="00CC30B9" w:rsidRDefault="00EB56ED" w:rsidP="00E56CC9">
      <w:pPr>
        <w:spacing w:after="0"/>
        <w:ind w:left="-284"/>
        <w:jc w:val="both"/>
        <w:rPr>
          <w:rFonts w:cs="Arial"/>
        </w:rPr>
      </w:pPr>
    </w:p>
    <w:p w:rsidR="001070DF" w:rsidRPr="00CC30B9" w:rsidRDefault="002038C6" w:rsidP="00C1276C">
      <w:pPr>
        <w:jc w:val="center"/>
        <w:rPr>
          <w:rFonts w:cs="Arial"/>
          <w:highlight w:val="yellow"/>
        </w:rPr>
      </w:pPr>
      <w:r w:rsidRPr="00CC30B9">
        <w:rPr>
          <w:noProof/>
        </w:rPr>
        <w:drawing>
          <wp:inline distT="0" distB="0" distL="0" distR="0" wp14:anchorId="0E274844" wp14:editId="15C903D4">
            <wp:extent cx="5876925" cy="2590799"/>
            <wp:effectExtent l="0" t="0" r="9525" b="63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31124" w:rsidRPr="00CC30B9" w:rsidRDefault="00C31124" w:rsidP="00AD3C99">
      <w:pPr>
        <w:spacing w:after="0"/>
        <w:jc w:val="both"/>
        <w:rPr>
          <w:rFonts w:cs="Arial"/>
        </w:rPr>
      </w:pPr>
      <w:r w:rsidRPr="00CC30B9">
        <w:rPr>
          <w:rFonts w:cs="Arial"/>
        </w:rPr>
        <w:t>Общий объем предложения на рынке загородной недвижимости продолжает активный рост. Так, в 3 квартале 2015г.</w:t>
      </w:r>
      <w:r w:rsidR="00CC30B9" w:rsidRPr="00CC30B9">
        <w:rPr>
          <w:rFonts w:cs="Arial"/>
        </w:rPr>
        <w:t xml:space="preserve"> он</w:t>
      </w:r>
      <w:r w:rsidRPr="00CC30B9">
        <w:rPr>
          <w:rFonts w:cs="Arial"/>
        </w:rPr>
        <w:t xml:space="preserve"> составил более 15,4 тыс. предложений, темп прироста ко 2 кварталу – 6,5% (↑).</w:t>
      </w:r>
    </w:p>
    <w:p w:rsidR="00AD3C99" w:rsidRPr="00CC30B9" w:rsidRDefault="00C31124" w:rsidP="00AD3C99">
      <w:pPr>
        <w:spacing w:after="0"/>
        <w:jc w:val="both"/>
        <w:rPr>
          <w:rFonts w:cs="Arial"/>
        </w:rPr>
      </w:pPr>
      <w:r w:rsidRPr="00CC30B9">
        <w:rPr>
          <w:rFonts w:cs="Arial"/>
        </w:rPr>
        <w:t xml:space="preserve"> </w:t>
      </w:r>
    </w:p>
    <w:p w:rsidR="00AD3C99" w:rsidRPr="00CC30B9" w:rsidRDefault="00AD3C99" w:rsidP="00AD3C99">
      <w:pPr>
        <w:spacing w:after="0"/>
        <w:jc w:val="both"/>
        <w:rPr>
          <w:rFonts w:cs="Arial"/>
        </w:rPr>
      </w:pPr>
    </w:p>
    <w:p w:rsidR="00C45CAD" w:rsidRPr="00CC30B9" w:rsidRDefault="002739EC" w:rsidP="004155FD">
      <w:pPr>
        <w:jc w:val="center"/>
        <w:rPr>
          <w:rFonts w:cs="Arial"/>
        </w:rPr>
      </w:pPr>
      <w:r w:rsidRPr="00CC30B9">
        <w:rPr>
          <w:noProof/>
        </w:rPr>
        <w:drawing>
          <wp:inline distT="0" distB="0" distL="0" distR="0" wp14:anchorId="63D67F52" wp14:editId="5BA5A2D8">
            <wp:extent cx="5038724" cy="2486025"/>
            <wp:effectExtent l="0" t="0" r="1016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C45CAD" w:rsidRPr="00CC30B9">
        <w:br w:type="page"/>
      </w:r>
    </w:p>
    <w:p w:rsidR="00771654" w:rsidRPr="00CC30B9" w:rsidRDefault="004A5BBF" w:rsidP="004A5BBF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bookmarkStart w:id="3" w:name="_Toc400983660"/>
      <w:bookmarkStart w:id="4" w:name="_Toc401047137"/>
      <w:r w:rsidRPr="00CC30B9">
        <w:rPr>
          <w:rFonts w:asciiTheme="minorHAnsi" w:hAnsiTheme="minorHAnsi" w:cs="Arial"/>
          <w:color w:val="auto"/>
          <w:sz w:val="22"/>
          <w:szCs w:val="22"/>
        </w:rPr>
        <w:lastRenderedPageBreak/>
        <w:t xml:space="preserve">2. </w:t>
      </w:r>
      <w:r w:rsidR="00771654" w:rsidRPr="00CC30B9">
        <w:rPr>
          <w:rFonts w:asciiTheme="minorHAnsi" w:hAnsiTheme="minorHAnsi" w:cs="Arial"/>
          <w:color w:val="auto"/>
          <w:sz w:val="22"/>
          <w:szCs w:val="22"/>
        </w:rPr>
        <w:t>ЗЕМЕЛЬНЫЕ УЧАСТКИ</w:t>
      </w:r>
      <w:bookmarkEnd w:id="3"/>
      <w:bookmarkEnd w:id="4"/>
    </w:p>
    <w:p w:rsidR="004A5BBF" w:rsidRPr="00CC30B9" w:rsidRDefault="004A5BBF" w:rsidP="00771654">
      <w:pPr>
        <w:ind w:left="-284"/>
        <w:rPr>
          <w:rFonts w:cs="Arial"/>
          <w:b/>
        </w:rPr>
      </w:pPr>
    </w:p>
    <w:p w:rsidR="00771654" w:rsidRPr="00CC30B9" w:rsidRDefault="00771654" w:rsidP="00771654">
      <w:pPr>
        <w:ind w:left="-284"/>
        <w:rPr>
          <w:rFonts w:cs="Arial"/>
          <w:b/>
        </w:rPr>
      </w:pPr>
      <w:r w:rsidRPr="00CC30B9">
        <w:rPr>
          <w:rFonts w:cs="Arial"/>
          <w:b/>
        </w:rPr>
        <w:t>Объем предложения</w:t>
      </w:r>
    </w:p>
    <w:p w:rsidR="00316F20" w:rsidRPr="00CC30B9" w:rsidRDefault="00316F20" w:rsidP="00316F20">
      <w:pPr>
        <w:ind w:left="-284"/>
        <w:jc w:val="both"/>
        <w:rPr>
          <w:rFonts w:cs="Arial"/>
        </w:rPr>
      </w:pPr>
      <w:r w:rsidRPr="00CC30B9">
        <w:rPr>
          <w:rFonts w:cs="Arial"/>
        </w:rPr>
        <w:t>Темп прироста объема предложения земельных участков в 3 квартале 2015г. составил более 6% по сравнению с предыдущим периодом, при этом больше всего объектов было выставлено на продажу по Велижанскому и Салаирскому трактам. Структура предложения в разрезе по направлениям осталась неизменна – четверть всего предложения сосредоточена по Салаирскому такту, на втором месте – Московский тракт с долей 16% и т.д.</w:t>
      </w:r>
    </w:p>
    <w:p w:rsidR="00AD3C99" w:rsidRPr="00CC30B9" w:rsidRDefault="002739EC" w:rsidP="00AA125E">
      <w:pPr>
        <w:ind w:left="-284"/>
        <w:jc w:val="both"/>
        <w:rPr>
          <w:rFonts w:cs="Arial"/>
        </w:rPr>
      </w:pPr>
      <w:r w:rsidRPr="00CC30B9">
        <w:rPr>
          <w:noProof/>
        </w:rPr>
        <w:drawing>
          <wp:inline distT="0" distB="0" distL="0" distR="0" wp14:anchorId="7927DD75" wp14:editId="3FB86F0B">
            <wp:extent cx="5191125" cy="3076574"/>
            <wp:effectExtent l="0" t="0" r="9525" b="1016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55FD" w:rsidRPr="00CC30B9" w:rsidRDefault="004155FD" w:rsidP="00F95168">
      <w:pPr>
        <w:rPr>
          <w:rFonts w:cs="Arial"/>
          <w:b/>
          <w:highlight w:val="yellow"/>
        </w:rPr>
      </w:pPr>
    </w:p>
    <w:p w:rsidR="00AA125E" w:rsidRPr="00CC30B9" w:rsidRDefault="00AA125E" w:rsidP="004155FD">
      <w:pPr>
        <w:ind w:hanging="284"/>
        <w:rPr>
          <w:rFonts w:cs="Arial"/>
          <w:b/>
        </w:rPr>
      </w:pPr>
      <w:r w:rsidRPr="00CC30B9">
        <w:rPr>
          <w:rFonts w:cs="Arial"/>
          <w:b/>
        </w:rPr>
        <w:t>Ценовая ситуация</w:t>
      </w:r>
    </w:p>
    <w:p w:rsidR="000256B9" w:rsidRPr="00CC30B9" w:rsidRDefault="000256B9" w:rsidP="0061232A">
      <w:pPr>
        <w:ind w:left="-284"/>
        <w:jc w:val="both"/>
        <w:rPr>
          <w:rFonts w:cs="Arial"/>
        </w:rPr>
      </w:pPr>
      <w:r w:rsidRPr="00CC30B9">
        <w:rPr>
          <w:rFonts w:cs="Arial"/>
        </w:rPr>
        <w:t xml:space="preserve">В 3 квартале продолжилось снижение удельной цены предложения земельных участков, в основном за счет роста объема предложения. </w:t>
      </w:r>
      <w:r w:rsidR="00CC30B9" w:rsidRPr="00CC30B9">
        <w:rPr>
          <w:rFonts w:cs="Arial"/>
        </w:rPr>
        <w:t>В</w:t>
      </w:r>
      <w:r w:rsidRPr="00CC30B9">
        <w:rPr>
          <w:rFonts w:cs="Arial"/>
        </w:rPr>
        <w:t xml:space="preserve"> 3 квартале средняя цена 1 сотк</w:t>
      </w:r>
      <w:r w:rsidR="00CC30B9" w:rsidRPr="00CC30B9">
        <w:rPr>
          <w:rFonts w:cs="Arial"/>
        </w:rPr>
        <w:t>и</w:t>
      </w:r>
      <w:r w:rsidRPr="00CC30B9">
        <w:rPr>
          <w:rFonts w:cs="Arial"/>
        </w:rPr>
        <w:t xml:space="preserve"> составила 77284 руб., что на 392 руб. меньше, чем в предыдущем квартале.</w:t>
      </w:r>
    </w:p>
    <w:p w:rsidR="00AF109A" w:rsidRPr="00CC30B9" w:rsidRDefault="002739EC" w:rsidP="002324EC">
      <w:pPr>
        <w:ind w:left="-284"/>
        <w:jc w:val="center"/>
        <w:rPr>
          <w:rFonts w:cs="Arial"/>
        </w:rPr>
      </w:pPr>
      <w:r w:rsidRPr="00CC30B9">
        <w:rPr>
          <w:noProof/>
        </w:rPr>
        <w:drawing>
          <wp:inline distT="0" distB="0" distL="0" distR="0" wp14:anchorId="663BFE0E" wp14:editId="738BFA2C">
            <wp:extent cx="4953000" cy="25431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7478" w:rsidRPr="00CC30B9" w:rsidRDefault="00607478" w:rsidP="00607478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bookmarkStart w:id="5" w:name="_Toc401047139"/>
      <w:bookmarkStart w:id="6" w:name="_Toc401047138"/>
      <w:r w:rsidRPr="00CC30B9">
        <w:rPr>
          <w:rFonts w:asciiTheme="minorHAnsi" w:hAnsiTheme="minorHAnsi" w:cs="Arial"/>
          <w:color w:val="auto"/>
          <w:sz w:val="22"/>
          <w:szCs w:val="22"/>
        </w:rPr>
        <w:lastRenderedPageBreak/>
        <w:t>3. ДОМА</w:t>
      </w:r>
      <w:bookmarkEnd w:id="5"/>
    </w:p>
    <w:p w:rsidR="000F6BB2" w:rsidRPr="00CC30B9" w:rsidRDefault="000F6BB2" w:rsidP="000F6BB2"/>
    <w:p w:rsidR="00607478" w:rsidRPr="00CC30B9" w:rsidRDefault="00607478" w:rsidP="00607478">
      <w:pPr>
        <w:ind w:left="-284"/>
        <w:rPr>
          <w:rFonts w:cs="Arial"/>
          <w:b/>
        </w:rPr>
      </w:pPr>
      <w:r w:rsidRPr="00CC30B9">
        <w:rPr>
          <w:rFonts w:cs="Arial"/>
          <w:b/>
        </w:rPr>
        <w:t>Объем предложения</w:t>
      </w:r>
    </w:p>
    <w:p w:rsidR="000F6BB2" w:rsidRPr="00CC30B9" w:rsidRDefault="0011160C" w:rsidP="0089756B">
      <w:pPr>
        <w:spacing w:after="0"/>
        <w:ind w:left="-284"/>
        <w:jc w:val="both"/>
        <w:rPr>
          <w:rFonts w:cs="Arial"/>
        </w:rPr>
      </w:pPr>
      <w:r w:rsidRPr="00CC30B9">
        <w:rPr>
          <w:rFonts w:cs="Arial"/>
        </w:rPr>
        <w:t>В 3 квартале объем предложения домов составил порядка 3600 объектов (темп прироста ко 2 квартал</w:t>
      </w:r>
      <w:r w:rsidR="00CC30B9" w:rsidRPr="00CC30B9">
        <w:rPr>
          <w:rFonts w:cs="Arial"/>
        </w:rPr>
        <w:t>у – 7%(↑).</w:t>
      </w:r>
      <w:r w:rsidRPr="00CC30B9">
        <w:rPr>
          <w:rFonts w:cs="Arial"/>
        </w:rPr>
        <w:t xml:space="preserve"> Наибольший прирост объектов наблюдается в черте города Тюмени и по Велижанскому тракту, изменений в структуре предложения домов по направлениям не выявлено.</w:t>
      </w:r>
    </w:p>
    <w:p w:rsidR="00A667BD" w:rsidRPr="00CC30B9" w:rsidRDefault="002739EC" w:rsidP="00010C16">
      <w:pPr>
        <w:spacing w:after="0"/>
        <w:ind w:left="-284"/>
        <w:jc w:val="center"/>
        <w:rPr>
          <w:rFonts w:cs="Arial"/>
          <w:highlight w:val="yellow"/>
        </w:rPr>
      </w:pPr>
      <w:r w:rsidRPr="00CC30B9">
        <w:rPr>
          <w:noProof/>
        </w:rPr>
        <w:drawing>
          <wp:inline distT="0" distB="0" distL="0" distR="0" wp14:anchorId="48218671" wp14:editId="08FA22A4">
            <wp:extent cx="5191125" cy="3076574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07478" w:rsidRPr="00CC30B9" w:rsidRDefault="00607478" w:rsidP="00607478">
      <w:pPr>
        <w:jc w:val="center"/>
        <w:rPr>
          <w:b/>
          <w:highlight w:val="yellow"/>
        </w:rPr>
      </w:pPr>
    </w:p>
    <w:p w:rsidR="00607478" w:rsidRPr="00CC30B9" w:rsidRDefault="00607478" w:rsidP="00607478">
      <w:pPr>
        <w:ind w:left="-284"/>
        <w:rPr>
          <w:rFonts w:cs="Arial"/>
          <w:b/>
        </w:rPr>
      </w:pPr>
      <w:r w:rsidRPr="00CC30B9">
        <w:rPr>
          <w:rFonts w:cs="Arial"/>
          <w:b/>
        </w:rPr>
        <w:t>Ценовая ситуация</w:t>
      </w:r>
    </w:p>
    <w:p w:rsidR="0011160C" w:rsidRPr="00CC30B9" w:rsidRDefault="0011160C" w:rsidP="00607478">
      <w:pPr>
        <w:spacing w:after="0"/>
        <w:ind w:left="-284"/>
        <w:jc w:val="both"/>
        <w:rPr>
          <w:rFonts w:cs="Arial"/>
        </w:rPr>
      </w:pPr>
      <w:r w:rsidRPr="00CC30B9">
        <w:rPr>
          <w:rFonts w:cs="Arial"/>
        </w:rPr>
        <w:t xml:space="preserve">В 3 квартале удельная цена предложения домов составила 35337 руб./кв.м., что на 364 руб. </w:t>
      </w:r>
      <w:r w:rsidR="00B9496C" w:rsidRPr="00CC30B9">
        <w:rPr>
          <w:rFonts w:cs="Arial"/>
        </w:rPr>
        <w:t>ниже уровня</w:t>
      </w:r>
      <w:r w:rsidRPr="00CC30B9">
        <w:rPr>
          <w:rFonts w:cs="Arial"/>
        </w:rPr>
        <w:t xml:space="preserve"> предшествующего периода (</w:t>
      </w:r>
      <w:r w:rsidR="00B9496C" w:rsidRPr="00CC30B9">
        <w:rPr>
          <w:rFonts w:cs="Arial"/>
        </w:rPr>
        <w:t>↓ 1%).</w:t>
      </w:r>
    </w:p>
    <w:p w:rsidR="00B9496C" w:rsidRPr="00CC30B9" w:rsidRDefault="002739EC" w:rsidP="00607478">
      <w:pPr>
        <w:jc w:val="center"/>
        <w:rPr>
          <w:b/>
          <w:highlight w:val="yellow"/>
        </w:rPr>
      </w:pPr>
      <w:r w:rsidRPr="00CC30B9">
        <w:rPr>
          <w:noProof/>
        </w:rPr>
        <w:drawing>
          <wp:inline distT="0" distB="0" distL="0" distR="0" wp14:anchorId="60B8859C" wp14:editId="2FD4182C">
            <wp:extent cx="4695825" cy="28289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07478" w:rsidRPr="00CC30B9" w:rsidRDefault="00B9496C" w:rsidP="00B9496C">
      <w:pPr>
        <w:jc w:val="both"/>
      </w:pPr>
      <w:r w:rsidRPr="00CC30B9">
        <w:t xml:space="preserve">Самые дорогие дома сосредоточены в черте города, средняя полная цена предложения в 3 квартале составила 4151 тыс.руб., незначительно отстает Ирбитский тракт с ценой 4141 тыс.руб. </w:t>
      </w:r>
      <w:r w:rsidRPr="00CC30B9">
        <w:lastRenderedPageBreak/>
        <w:t xml:space="preserve">Самые дешевые предложения можно найти по Тобольскому, </w:t>
      </w:r>
      <w:proofErr w:type="spellStart"/>
      <w:r w:rsidRPr="00CC30B9">
        <w:t>Червишевскому</w:t>
      </w:r>
      <w:proofErr w:type="spellEnd"/>
      <w:r w:rsidRPr="00CC30B9">
        <w:t xml:space="preserve"> и Велижанскому трактам, где средняя полная цена составляет менее 3000 тыс.руб.</w:t>
      </w:r>
    </w:p>
    <w:p w:rsidR="00C81C95" w:rsidRPr="00CC30B9" w:rsidRDefault="002739EC" w:rsidP="00B9496C">
      <w:pPr>
        <w:ind w:left="-567"/>
        <w:rPr>
          <w:rFonts w:cs="Arial"/>
          <w:highlight w:val="yellow"/>
        </w:rPr>
      </w:pPr>
      <w:r w:rsidRPr="00CC30B9">
        <w:rPr>
          <w:noProof/>
        </w:rPr>
        <w:drawing>
          <wp:inline distT="0" distB="0" distL="0" distR="0" wp14:anchorId="77CB943B" wp14:editId="290D5C07">
            <wp:extent cx="6515100" cy="30099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B4D32" w:rsidRPr="00CC30B9" w:rsidRDefault="00607478" w:rsidP="007B4D32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r w:rsidRPr="00CC30B9">
        <w:rPr>
          <w:rFonts w:asciiTheme="minorHAnsi" w:hAnsiTheme="minorHAnsi" w:cs="Arial"/>
          <w:color w:val="auto"/>
          <w:sz w:val="22"/>
          <w:szCs w:val="22"/>
        </w:rPr>
        <w:t>4</w:t>
      </w:r>
      <w:r w:rsidR="007B4D32" w:rsidRPr="00CC30B9">
        <w:rPr>
          <w:rFonts w:asciiTheme="minorHAnsi" w:hAnsiTheme="minorHAnsi" w:cs="Arial"/>
          <w:color w:val="auto"/>
          <w:sz w:val="22"/>
          <w:szCs w:val="22"/>
        </w:rPr>
        <w:t>. ДАЧИ</w:t>
      </w:r>
      <w:bookmarkEnd w:id="6"/>
    </w:p>
    <w:p w:rsidR="007B4D32" w:rsidRPr="00CC30B9" w:rsidRDefault="007B4D32" w:rsidP="007B4D32"/>
    <w:p w:rsidR="007B4D32" w:rsidRPr="00CC30B9" w:rsidRDefault="007B4D32" w:rsidP="007B4D32">
      <w:pPr>
        <w:ind w:left="-284"/>
        <w:rPr>
          <w:rFonts w:cs="Arial"/>
          <w:b/>
        </w:rPr>
      </w:pPr>
      <w:r w:rsidRPr="00CC30B9">
        <w:rPr>
          <w:rFonts w:cs="Arial"/>
          <w:b/>
        </w:rPr>
        <w:t>Объем предложения</w:t>
      </w:r>
    </w:p>
    <w:p w:rsidR="00A667BD" w:rsidRPr="00CC30B9" w:rsidRDefault="0072500A" w:rsidP="00A667BD">
      <w:pPr>
        <w:spacing w:after="0"/>
        <w:ind w:left="-284"/>
        <w:jc w:val="both"/>
        <w:rPr>
          <w:rFonts w:cs="Arial"/>
        </w:rPr>
      </w:pPr>
      <w:r w:rsidRPr="00CC30B9">
        <w:rPr>
          <w:rFonts w:cs="Arial"/>
        </w:rPr>
        <w:t>Темп прироста объема предложения дач в 3 квартале составил 6,7% по сравнению со 2 кварталом, наибольший пр</w:t>
      </w:r>
      <w:r w:rsidR="00CC30B9">
        <w:rPr>
          <w:rFonts w:cs="Arial"/>
        </w:rPr>
        <w:t>ирост объектов по направлениям -</w:t>
      </w:r>
      <w:r w:rsidRPr="00CC30B9">
        <w:rPr>
          <w:rFonts w:cs="Arial"/>
        </w:rPr>
        <w:t xml:space="preserve"> </w:t>
      </w:r>
      <w:proofErr w:type="spellStart"/>
      <w:r w:rsidRPr="00CC30B9">
        <w:rPr>
          <w:rFonts w:cs="Arial"/>
        </w:rPr>
        <w:t>Ялуторовский</w:t>
      </w:r>
      <w:proofErr w:type="spellEnd"/>
      <w:r w:rsidRPr="00CC30B9">
        <w:rPr>
          <w:rFonts w:cs="Arial"/>
        </w:rPr>
        <w:t xml:space="preserve">. </w:t>
      </w:r>
      <w:proofErr w:type="spellStart"/>
      <w:r w:rsidRPr="00CC30B9">
        <w:rPr>
          <w:rFonts w:cs="Arial"/>
        </w:rPr>
        <w:t>Велижанский</w:t>
      </w:r>
      <w:proofErr w:type="spellEnd"/>
      <w:r w:rsidRPr="00CC30B9">
        <w:rPr>
          <w:rFonts w:cs="Arial"/>
        </w:rPr>
        <w:t xml:space="preserve"> и Московский тракты. Незначительно снизился объем предложения по </w:t>
      </w:r>
      <w:proofErr w:type="spellStart"/>
      <w:r w:rsidRPr="00CC30B9">
        <w:rPr>
          <w:rFonts w:cs="Arial"/>
        </w:rPr>
        <w:t>Червишевскому</w:t>
      </w:r>
      <w:proofErr w:type="spellEnd"/>
      <w:r w:rsidRPr="00CC30B9">
        <w:rPr>
          <w:rFonts w:cs="Arial"/>
        </w:rPr>
        <w:t>, Тобольскому и Ирбитскому трактам.</w:t>
      </w:r>
    </w:p>
    <w:p w:rsidR="001B1ADC" w:rsidRPr="00CC30B9" w:rsidRDefault="00C422EA" w:rsidP="00C422EA">
      <w:pPr>
        <w:ind w:left="-284"/>
        <w:jc w:val="center"/>
        <w:rPr>
          <w:rFonts w:cs="Arial"/>
        </w:rPr>
      </w:pPr>
      <w:r w:rsidRPr="00CC30B9">
        <w:rPr>
          <w:noProof/>
        </w:rPr>
        <w:drawing>
          <wp:inline distT="0" distB="0" distL="0" distR="0" wp14:anchorId="35D0763F" wp14:editId="683CF97A">
            <wp:extent cx="5191125" cy="3076574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0C85" w:rsidRPr="00CC30B9" w:rsidRDefault="003D0C85" w:rsidP="003D0C85">
      <w:pPr>
        <w:ind w:left="-284"/>
        <w:rPr>
          <w:rFonts w:cs="Arial"/>
          <w:b/>
        </w:rPr>
      </w:pPr>
      <w:r w:rsidRPr="00CC30B9">
        <w:rPr>
          <w:rFonts w:cs="Arial"/>
          <w:b/>
        </w:rPr>
        <w:t>Ценовая ситуация</w:t>
      </w:r>
    </w:p>
    <w:p w:rsidR="004F0A13" w:rsidRPr="00CC30B9" w:rsidRDefault="0072500A" w:rsidP="00DF53B4">
      <w:pPr>
        <w:tabs>
          <w:tab w:val="left" w:pos="3105"/>
        </w:tabs>
        <w:ind w:left="-284"/>
        <w:jc w:val="both"/>
        <w:rPr>
          <w:rFonts w:cs="Arial"/>
          <w:noProof/>
        </w:rPr>
      </w:pPr>
      <w:r w:rsidRPr="00CC30B9">
        <w:rPr>
          <w:rFonts w:cs="Arial"/>
          <w:noProof/>
        </w:rPr>
        <w:lastRenderedPageBreak/>
        <w:t>Наиболее дорогие направления по средней полной цене предложения – Ялуторовский тракт и черта города (1511 и 1501 тыс.руб. соответственно)</w:t>
      </w:r>
      <w:r w:rsidR="00DF53B4" w:rsidRPr="00CC30B9">
        <w:rPr>
          <w:rFonts w:cs="Arial"/>
          <w:noProof/>
        </w:rPr>
        <w:t>, наиб</w:t>
      </w:r>
      <w:r w:rsidR="00CC30B9">
        <w:rPr>
          <w:rFonts w:cs="Arial"/>
          <w:noProof/>
        </w:rPr>
        <w:t>олее дешевые – Тобольский и Вели</w:t>
      </w:r>
      <w:r w:rsidR="00DF53B4" w:rsidRPr="00CC30B9">
        <w:rPr>
          <w:rFonts w:cs="Arial"/>
          <w:noProof/>
        </w:rPr>
        <w:t>жанский тракты (1140 и 1020 тыс.руб.).</w:t>
      </w:r>
    </w:p>
    <w:p w:rsidR="004B5BA0" w:rsidRPr="00CC30B9" w:rsidRDefault="00C422EA" w:rsidP="004F0A13">
      <w:pPr>
        <w:tabs>
          <w:tab w:val="left" w:pos="3105"/>
        </w:tabs>
        <w:ind w:left="-142"/>
        <w:jc w:val="center"/>
        <w:rPr>
          <w:noProof/>
          <w:highlight w:val="yellow"/>
        </w:rPr>
      </w:pPr>
      <w:r w:rsidRPr="00CC30B9">
        <w:rPr>
          <w:noProof/>
        </w:rPr>
        <w:drawing>
          <wp:inline distT="0" distB="0" distL="0" distR="0" wp14:anchorId="5F5234C6" wp14:editId="1AFB8DA1">
            <wp:extent cx="61214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F4458" w:rsidRPr="00CC30B9" w:rsidRDefault="003B536F" w:rsidP="000F4458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bookmarkStart w:id="7" w:name="_Toc401047140"/>
      <w:r w:rsidRPr="00CC30B9">
        <w:rPr>
          <w:rFonts w:asciiTheme="minorHAnsi" w:hAnsiTheme="minorHAnsi" w:cs="Arial"/>
          <w:color w:val="auto"/>
          <w:sz w:val="22"/>
          <w:szCs w:val="22"/>
        </w:rPr>
        <w:t>5</w:t>
      </w:r>
      <w:r w:rsidR="000F4458" w:rsidRPr="00CC30B9">
        <w:rPr>
          <w:rFonts w:asciiTheme="minorHAnsi" w:hAnsiTheme="minorHAnsi" w:cs="Arial"/>
          <w:color w:val="auto"/>
          <w:sz w:val="22"/>
          <w:szCs w:val="22"/>
        </w:rPr>
        <w:t>. КОТТЕДЖИ</w:t>
      </w:r>
      <w:bookmarkEnd w:id="7"/>
    </w:p>
    <w:p w:rsidR="000F4458" w:rsidRPr="00CC30B9" w:rsidRDefault="000F4458" w:rsidP="000F4458">
      <w:pPr>
        <w:ind w:left="-284"/>
        <w:rPr>
          <w:rFonts w:cs="Arial"/>
          <w:b/>
        </w:rPr>
      </w:pPr>
    </w:p>
    <w:p w:rsidR="000F4458" w:rsidRPr="00CC30B9" w:rsidRDefault="000F4458" w:rsidP="000F4458">
      <w:pPr>
        <w:ind w:left="-284"/>
        <w:rPr>
          <w:rFonts w:cs="Arial"/>
          <w:b/>
        </w:rPr>
      </w:pPr>
      <w:r w:rsidRPr="00CC30B9">
        <w:rPr>
          <w:rFonts w:cs="Arial"/>
          <w:b/>
        </w:rPr>
        <w:t>Объем предложения</w:t>
      </w:r>
    </w:p>
    <w:p w:rsidR="008F65A4" w:rsidRPr="00CC30B9" w:rsidRDefault="00153B19" w:rsidP="004569D4">
      <w:pPr>
        <w:ind w:left="-284"/>
        <w:jc w:val="both"/>
        <w:rPr>
          <w:rFonts w:cs="Arial"/>
        </w:rPr>
      </w:pPr>
      <w:r w:rsidRPr="00CC30B9">
        <w:rPr>
          <w:rFonts w:cs="Arial"/>
        </w:rPr>
        <w:t xml:space="preserve">Около 8% составил </w:t>
      </w:r>
      <w:r w:rsidR="008F65A4" w:rsidRPr="00CC30B9">
        <w:rPr>
          <w:rFonts w:cs="Arial"/>
        </w:rPr>
        <w:t>рост</w:t>
      </w:r>
      <w:r w:rsidRPr="00CC30B9">
        <w:rPr>
          <w:rFonts w:cs="Arial"/>
        </w:rPr>
        <w:t xml:space="preserve"> объема предложения коттеджей в 3 квартале 2015г.</w:t>
      </w:r>
      <w:r w:rsidR="008F65A4" w:rsidRPr="00CC30B9">
        <w:rPr>
          <w:rFonts w:cs="Arial"/>
        </w:rPr>
        <w:t>, наибольшее число объектов (более 20) выставлено на продажу в направлении Салаирского, Московского трактов и черте города.</w:t>
      </w:r>
    </w:p>
    <w:p w:rsidR="000F4458" w:rsidRPr="00CC30B9" w:rsidRDefault="00153B19" w:rsidP="00C77635">
      <w:pPr>
        <w:tabs>
          <w:tab w:val="left" w:pos="3105"/>
        </w:tabs>
        <w:jc w:val="center"/>
        <w:rPr>
          <w:highlight w:val="yellow"/>
        </w:rPr>
      </w:pPr>
      <w:r w:rsidRPr="00CC30B9">
        <w:rPr>
          <w:noProof/>
        </w:rPr>
        <w:drawing>
          <wp:inline distT="0" distB="0" distL="0" distR="0" wp14:anchorId="4977E922" wp14:editId="679BE160">
            <wp:extent cx="5191125" cy="3076574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B536F" w:rsidRPr="00CC30B9" w:rsidRDefault="003B536F" w:rsidP="003B536F">
      <w:pPr>
        <w:ind w:left="-284"/>
        <w:rPr>
          <w:rFonts w:cs="Arial"/>
          <w:b/>
        </w:rPr>
      </w:pPr>
      <w:r w:rsidRPr="00CC30B9">
        <w:rPr>
          <w:rFonts w:cs="Arial"/>
          <w:b/>
        </w:rPr>
        <w:t>Ценовая ситуация</w:t>
      </w:r>
    </w:p>
    <w:p w:rsidR="000F4458" w:rsidRPr="00CC30B9" w:rsidRDefault="00CA14FF" w:rsidP="00B8263F">
      <w:pPr>
        <w:tabs>
          <w:tab w:val="left" w:pos="3105"/>
        </w:tabs>
        <w:ind w:left="-284"/>
        <w:jc w:val="both"/>
        <w:rPr>
          <w:rFonts w:cs="Arial"/>
          <w:noProof/>
        </w:rPr>
      </w:pPr>
      <w:r w:rsidRPr="00CC30B9">
        <w:rPr>
          <w:rFonts w:cs="Arial"/>
          <w:noProof/>
        </w:rPr>
        <w:lastRenderedPageBreak/>
        <w:t>В 3 квартале удельная цена предложения коттеджей составила 42504 руб./кв.м., что на 148 руб. (0,35%) выше, чем в предыдущем квартале</w:t>
      </w:r>
      <w:r w:rsidR="00CC30B9">
        <w:rPr>
          <w:rFonts w:cs="Arial"/>
          <w:noProof/>
        </w:rPr>
        <w:t xml:space="preserve"> (в</w:t>
      </w:r>
      <w:r w:rsidRPr="00CC30B9">
        <w:rPr>
          <w:rFonts w:cs="Arial"/>
          <w:noProof/>
        </w:rPr>
        <w:t xml:space="preserve"> 1-3 кварталах 2015г. небольшие колебания цены в рамках погрешности</w:t>
      </w:r>
      <w:r w:rsidR="00CC30B9">
        <w:rPr>
          <w:rFonts w:cs="Arial"/>
          <w:noProof/>
        </w:rPr>
        <w:t>)</w:t>
      </w:r>
      <w:r w:rsidRPr="00CC30B9">
        <w:rPr>
          <w:rFonts w:cs="Arial"/>
          <w:noProof/>
        </w:rPr>
        <w:t>.</w:t>
      </w:r>
    </w:p>
    <w:p w:rsidR="003B2F29" w:rsidRPr="00CC30B9" w:rsidRDefault="00CA14FF" w:rsidP="003B2F29">
      <w:pPr>
        <w:tabs>
          <w:tab w:val="left" w:pos="3105"/>
        </w:tabs>
        <w:jc w:val="center"/>
        <w:rPr>
          <w:highlight w:val="yellow"/>
        </w:rPr>
      </w:pPr>
      <w:r w:rsidRPr="00CC30B9">
        <w:rPr>
          <w:noProof/>
        </w:rPr>
        <w:drawing>
          <wp:inline distT="0" distB="0" distL="0" distR="0" wp14:anchorId="6DB3BEB9" wp14:editId="4D2E5BCE">
            <wp:extent cx="4362450" cy="256222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063B3" w:rsidRPr="00CC30B9" w:rsidRDefault="00F26B1A" w:rsidP="00C63D7E">
      <w:pPr>
        <w:tabs>
          <w:tab w:val="left" w:pos="3105"/>
        </w:tabs>
        <w:jc w:val="both"/>
        <w:rPr>
          <w:rFonts w:cs="Arial"/>
        </w:rPr>
      </w:pPr>
      <w:r w:rsidRPr="00CC30B9">
        <w:rPr>
          <w:rFonts w:cs="Arial"/>
        </w:rPr>
        <w:t xml:space="preserve">Наибольшее изменение цены коттеджей в 3 квартале составило 14,7% по </w:t>
      </w:r>
      <w:proofErr w:type="spellStart"/>
      <w:r w:rsidRPr="00CC30B9">
        <w:rPr>
          <w:rFonts w:cs="Arial"/>
        </w:rPr>
        <w:t>Ялуторовскому</w:t>
      </w:r>
      <w:proofErr w:type="spellEnd"/>
      <w:r w:rsidRPr="00CC30B9">
        <w:rPr>
          <w:rFonts w:cs="Arial"/>
        </w:rPr>
        <w:t xml:space="preserve"> тракту, где средняя полная цена предложения с</w:t>
      </w:r>
      <w:r w:rsidR="00CC30B9">
        <w:rPr>
          <w:rFonts w:cs="Arial"/>
        </w:rPr>
        <w:t>ложилась на уровне</w:t>
      </w:r>
      <w:r w:rsidRPr="00CC30B9">
        <w:rPr>
          <w:rFonts w:cs="Arial"/>
        </w:rPr>
        <w:t xml:space="preserve"> 10893 тыс.руб. Рост средней цены также наблюдается по Московскому, Ирбитскому, Старому Тобольскому и Велижанскому тракту.</w:t>
      </w:r>
    </w:p>
    <w:p w:rsidR="00C63D7E" w:rsidRPr="00CC30B9" w:rsidRDefault="00F26B1A">
      <w:pPr>
        <w:rPr>
          <w:highlight w:val="yellow"/>
        </w:rPr>
      </w:pPr>
      <w:r w:rsidRPr="00CC30B9">
        <w:rPr>
          <w:noProof/>
        </w:rPr>
        <w:drawing>
          <wp:inline distT="0" distB="0" distL="0" distR="0" wp14:anchorId="3F9C42A1" wp14:editId="65DE5773">
            <wp:extent cx="6286500" cy="31115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713FE" w:rsidRPr="00CC30B9" w:rsidRDefault="004713FE" w:rsidP="004569D4">
      <w:pPr>
        <w:ind w:left="-284"/>
        <w:rPr>
          <w:rFonts w:cs="Arial"/>
          <w:b/>
        </w:rPr>
      </w:pPr>
      <w:bookmarkStart w:id="8" w:name="_Toc401047141"/>
      <w:r w:rsidRPr="00CC30B9">
        <w:rPr>
          <w:rFonts w:cs="Arial"/>
          <w:b/>
        </w:rPr>
        <w:t>6. ТАУНХАУСЫ</w:t>
      </w:r>
      <w:bookmarkEnd w:id="8"/>
    </w:p>
    <w:p w:rsidR="004713FE" w:rsidRPr="00CC30B9" w:rsidRDefault="004713FE" w:rsidP="004713FE">
      <w:pPr>
        <w:ind w:left="-284"/>
        <w:rPr>
          <w:rFonts w:cs="Arial"/>
          <w:b/>
        </w:rPr>
      </w:pPr>
    </w:p>
    <w:p w:rsidR="004713FE" w:rsidRPr="00CC30B9" w:rsidRDefault="004713FE" w:rsidP="004713FE">
      <w:pPr>
        <w:ind w:left="-284"/>
        <w:rPr>
          <w:rFonts w:cs="Arial"/>
          <w:b/>
        </w:rPr>
      </w:pPr>
      <w:r w:rsidRPr="00CC30B9">
        <w:rPr>
          <w:rFonts w:cs="Arial"/>
          <w:b/>
        </w:rPr>
        <w:t>Объем предложения</w:t>
      </w:r>
    </w:p>
    <w:p w:rsidR="002324EC" w:rsidRPr="00CC30B9" w:rsidRDefault="002324EC" w:rsidP="00A342F9">
      <w:pPr>
        <w:ind w:left="-284"/>
        <w:jc w:val="both"/>
        <w:rPr>
          <w:rFonts w:cs="Arial"/>
        </w:rPr>
      </w:pPr>
      <w:r w:rsidRPr="00CC30B9">
        <w:rPr>
          <w:rFonts w:cs="Arial"/>
        </w:rPr>
        <w:t xml:space="preserve">Общий объем предложения </w:t>
      </w:r>
      <w:proofErr w:type="spellStart"/>
      <w:r w:rsidRPr="00CC30B9">
        <w:rPr>
          <w:rFonts w:cs="Arial"/>
        </w:rPr>
        <w:t>таунхаусов</w:t>
      </w:r>
      <w:proofErr w:type="spellEnd"/>
      <w:r w:rsidRPr="00CC30B9">
        <w:rPr>
          <w:rFonts w:cs="Arial"/>
        </w:rPr>
        <w:t xml:space="preserve"> в 3 квартале 2015г. незначительно снизился на 0,8%</w:t>
      </w:r>
      <w:r w:rsidR="00A342F9" w:rsidRPr="00CC30B9">
        <w:rPr>
          <w:rFonts w:cs="Arial"/>
        </w:rPr>
        <w:t xml:space="preserve"> по сравнению с предыдущим периодом, однако наибольшее изменение за рассматриваемый период выявлено по Московскому тракту – прирост составил около 10% (↑).</w:t>
      </w:r>
    </w:p>
    <w:p w:rsidR="00FF216A" w:rsidRPr="00CC30B9" w:rsidRDefault="002324EC" w:rsidP="00FF216A">
      <w:pPr>
        <w:tabs>
          <w:tab w:val="left" w:pos="3105"/>
        </w:tabs>
        <w:jc w:val="center"/>
        <w:rPr>
          <w:highlight w:val="yellow"/>
        </w:rPr>
      </w:pPr>
      <w:r w:rsidRPr="00CC30B9">
        <w:rPr>
          <w:noProof/>
        </w:rPr>
        <w:lastRenderedPageBreak/>
        <w:drawing>
          <wp:inline distT="0" distB="0" distL="0" distR="0" wp14:anchorId="0C57021B" wp14:editId="062ACDE1">
            <wp:extent cx="5191125" cy="3076574"/>
            <wp:effectExtent l="0" t="0" r="9525" b="1016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713FE" w:rsidRPr="00CC30B9" w:rsidRDefault="004713FE" w:rsidP="00C422EA">
      <w:pPr>
        <w:rPr>
          <w:rFonts w:cs="Arial"/>
          <w:b/>
        </w:rPr>
      </w:pPr>
      <w:r w:rsidRPr="00CC30B9">
        <w:rPr>
          <w:rFonts w:cs="Arial"/>
          <w:b/>
        </w:rPr>
        <w:t>Ценовая ситуация</w:t>
      </w:r>
    </w:p>
    <w:p w:rsidR="0023464F" w:rsidRPr="00CC30B9" w:rsidRDefault="00E17D31" w:rsidP="0023464F">
      <w:pPr>
        <w:ind w:left="-284"/>
        <w:jc w:val="both"/>
        <w:rPr>
          <w:rFonts w:cs="Arial"/>
        </w:rPr>
      </w:pPr>
      <w:r w:rsidRPr="00CC30B9">
        <w:rPr>
          <w:rFonts w:cs="Arial"/>
        </w:rPr>
        <w:t>Как и во 2 квартале 2015г., в рассматриваемом периоде на рост удельной цены предложения (на 3%) повлиял выход новых объектах в направлении Салаирского тракта и в черте города (Цимлянское), где средняя цена 1 кв.м. составила более 100 тыс.руб</w:t>
      </w:r>
      <w:r w:rsidR="0023464F" w:rsidRPr="00CC30B9">
        <w:rPr>
          <w:rFonts w:cs="Arial"/>
        </w:rPr>
        <w:t>.</w:t>
      </w:r>
      <w:r w:rsidR="00CC30B9">
        <w:rPr>
          <w:rFonts w:cs="Arial"/>
        </w:rPr>
        <w:t>/кв.м.</w:t>
      </w:r>
    </w:p>
    <w:p w:rsidR="002F662A" w:rsidRPr="00CC30B9" w:rsidRDefault="002324EC" w:rsidP="00606B80">
      <w:pPr>
        <w:tabs>
          <w:tab w:val="left" w:pos="3105"/>
        </w:tabs>
        <w:ind w:left="-284"/>
        <w:jc w:val="center"/>
        <w:rPr>
          <w:noProof/>
        </w:rPr>
      </w:pPr>
      <w:r w:rsidRPr="00CC30B9">
        <w:rPr>
          <w:noProof/>
        </w:rPr>
        <w:drawing>
          <wp:inline distT="0" distB="0" distL="0" distR="0" wp14:anchorId="2928A33D" wp14:editId="550436C0">
            <wp:extent cx="4362450" cy="25622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3464F" w:rsidRPr="00CC30B9" w:rsidRDefault="0023464F" w:rsidP="00606B80">
      <w:pPr>
        <w:tabs>
          <w:tab w:val="left" w:pos="3105"/>
        </w:tabs>
        <w:ind w:left="-284"/>
        <w:jc w:val="center"/>
        <w:rPr>
          <w:noProof/>
        </w:rPr>
      </w:pPr>
    </w:p>
    <w:p w:rsidR="0023464F" w:rsidRPr="00CC30B9" w:rsidRDefault="0023464F" w:rsidP="00606B80">
      <w:pPr>
        <w:tabs>
          <w:tab w:val="left" w:pos="3105"/>
        </w:tabs>
        <w:ind w:left="-284"/>
        <w:jc w:val="center"/>
        <w:sectPr w:rsidR="0023464F" w:rsidRPr="00CC30B9" w:rsidSect="008B6E35">
          <w:headerReference w:type="default" r:id="rId2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30890" w:rsidRPr="00CC30B9" w:rsidRDefault="00EB56ED">
      <w:r w:rsidRPr="00CC30B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-720090</wp:posOffset>
            </wp:positionV>
            <wp:extent cx="7541260" cy="10701020"/>
            <wp:effectExtent l="0" t="0" r="2540" b="5080"/>
            <wp:wrapSquare wrapText="bothSides"/>
            <wp:docPr id="19" name="Рисунок 19" descr="рекламная страница для об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ламная страница для обзо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0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0890" w:rsidRPr="00CC30B9" w:rsidSect="008B6E3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E97" w:rsidRDefault="00050E97" w:rsidP="003C7084">
      <w:pPr>
        <w:spacing w:after="0" w:line="240" w:lineRule="auto"/>
      </w:pPr>
      <w:r>
        <w:separator/>
      </w:r>
    </w:p>
  </w:endnote>
  <w:endnote w:type="continuationSeparator" w:id="0">
    <w:p w:rsidR="00050E97" w:rsidRDefault="00050E97" w:rsidP="003C7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E97" w:rsidRDefault="00050E97" w:rsidP="003C7084">
      <w:pPr>
        <w:spacing w:after="0" w:line="240" w:lineRule="auto"/>
      </w:pPr>
      <w:r>
        <w:separator/>
      </w:r>
    </w:p>
  </w:footnote>
  <w:footnote w:type="continuationSeparator" w:id="0">
    <w:p w:rsidR="00050E97" w:rsidRDefault="00050E97" w:rsidP="003C7084">
      <w:pPr>
        <w:spacing w:after="0" w:line="240" w:lineRule="auto"/>
      </w:pPr>
      <w:r>
        <w:continuationSeparator/>
      </w:r>
    </w:p>
  </w:footnote>
  <w:footnote w:id="1">
    <w:p w:rsidR="002B2B52" w:rsidRPr="00D7176F" w:rsidRDefault="002B2B52" w:rsidP="003C7084">
      <w:pPr>
        <w:pStyle w:val="a3"/>
        <w:rPr>
          <w:color w:val="244061" w:themeColor="accent1" w:themeShade="80"/>
        </w:rPr>
      </w:pPr>
      <w:r w:rsidRPr="00D7176F">
        <w:rPr>
          <w:rStyle w:val="a5"/>
          <w:color w:val="244061" w:themeColor="accent1" w:themeShade="80"/>
        </w:rPr>
        <w:footnoteRef/>
      </w:r>
      <w:r w:rsidRPr="00D7176F">
        <w:rPr>
          <w:color w:val="244061" w:themeColor="accent1" w:themeShade="80"/>
        </w:rPr>
        <w:t xml:space="preserve"> </w:t>
      </w:r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>О</w:t>
      </w:r>
      <w:r>
        <w:rPr>
          <w:rFonts w:ascii="Arial" w:hAnsi="Arial" w:cs="Arial"/>
          <w:color w:val="244061" w:themeColor="accent1" w:themeShade="80"/>
          <w:sz w:val="18"/>
          <w:szCs w:val="18"/>
        </w:rPr>
        <w:t>бзор</w:t>
      </w:r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 xml:space="preserve"> подготовлен на основании базы компании "Этажи", по методологии Главного аналитика РГР </w:t>
      </w:r>
      <w:proofErr w:type="spellStart"/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>Стерника</w:t>
      </w:r>
      <w:proofErr w:type="spellEnd"/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 xml:space="preserve"> Г.М.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921830"/>
      <w:docPartObj>
        <w:docPartGallery w:val="Page Numbers (Top of Page)"/>
        <w:docPartUnique/>
      </w:docPartObj>
    </w:sdtPr>
    <w:sdtEndPr/>
    <w:sdtContent>
      <w:p w:rsidR="002B2B52" w:rsidRDefault="00BD5D7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30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2B52" w:rsidRDefault="002B2B5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61C41"/>
    <w:multiLevelType w:val="hybridMultilevel"/>
    <w:tmpl w:val="557E2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84"/>
    <w:rsid w:val="00006E2A"/>
    <w:rsid w:val="00010C16"/>
    <w:rsid w:val="000256B9"/>
    <w:rsid w:val="00030CA9"/>
    <w:rsid w:val="00037838"/>
    <w:rsid w:val="00050841"/>
    <w:rsid w:val="00050E97"/>
    <w:rsid w:val="00056CE9"/>
    <w:rsid w:val="00065F50"/>
    <w:rsid w:val="00077D90"/>
    <w:rsid w:val="0008282F"/>
    <w:rsid w:val="000873EB"/>
    <w:rsid w:val="000905D9"/>
    <w:rsid w:val="000A480A"/>
    <w:rsid w:val="000C2C16"/>
    <w:rsid w:val="000F02BB"/>
    <w:rsid w:val="000F4458"/>
    <w:rsid w:val="000F6BB2"/>
    <w:rsid w:val="001070DF"/>
    <w:rsid w:val="0011160C"/>
    <w:rsid w:val="00120183"/>
    <w:rsid w:val="00151817"/>
    <w:rsid w:val="00153B19"/>
    <w:rsid w:val="0019139B"/>
    <w:rsid w:val="001B096F"/>
    <w:rsid w:val="001B1ADC"/>
    <w:rsid w:val="001D1002"/>
    <w:rsid w:val="001D3BAE"/>
    <w:rsid w:val="002038C6"/>
    <w:rsid w:val="0020580E"/>
    <w:rsid w:val="00207167"/>
    <w:rsid w:val="00220F6E"/>
    <w:rsid w:val="002324EC"/>
    <w:rsid w:val="0023464F"/>
    <w:rsid w:val="0026687F"/>
    <w:rsid w:val="002739EC"/>
    <w:rsid w:val="00280A0A"/>
    <w:rsid w:val="002847D2"/>
    <w:rsid w:val="00286DB1"/>
    <w:rsid w:val="00291A5D"/>
    <w:rsid w:val="0029467D"/>
    <w:rsid w:val="002B2B52"/>
    <w:rsid w:val="002F662A"/>
    <w:rsid w:val="00314C7A"/>
    <w:rsid w:val="00315358"/>
    <w:rsid w:val="00316DD4"/>
    <w:rsid w:val="00316F20"/>
    <w:rsid w:val="0033214B"/>
    <w:rsid w:val="00332CA6"/>
    <w:rsid w:val="00336BF2"/>
    <w:rsid w:val="00354D28"/>
    <w:rsid w:val="003655E1"/>
    <w:rsid w:val="003831E4"/>
    <w:rsid w:val="003971FF"/>
    <w:rsid w:val="003A50CD"/>
    <w:rsid w:val="003A7FDD"/>
    <w:rsid w:val="003B2F29"/>
    <w:rsid w:val="003B536F"/>
    <w:rsid w:val="003C0629"/>
    <w:rsid w:val="003C7084"/>
    <w:rsid w:val="003D0C85"/>
    <w:rsid w:val="003D6F2B"/>
    <w:rsid w:val="003E4F74"/>
    <w:rsid w:val="004010EF"/>
    <w:rsid w:val="004155FD"/>
    <w:rsid w:val="00425C37"/>
    <w:rsid w:val="00442DE5"/>
    <w:rsid w:val="004569D4"/>
    <w:rsid w:val="004713FE"/>
    <w:rsid w:val="004760B3"/>
    <w:rsid w:val="00490E2D"/>
    <w:rsid w:val="004A5BBF"/>
    <w:rsid w:val="004B5BA0"/>
    <w:rsid w:val="004C328F"/>
    <w:rsid w:val="004C72DB"/>
    <w:rsid w:val="004E6422"/>
    <w:rsid w:val="004E6B38"/>
    <w:rsid w:val="004E6FBF"/>
    <w:rsid w:val="004F0A13"/>
    <w:rsid w:val="00500E60"/>
    <w:rsid w:val="005024C1"/>
    <w:rsid w:val="005063B3"/>
    <w:rsid w:val="00507B52"/>
    <w:rsid w:val="00522941"/>
    <w:rsid w:val="00541322"/>
    <w:rsid w:val="00542246"/>
    <w:rsid w:val="00546B3F"/>
    <w:rsid w:val="0055779F"/>
    <w:rsid w:val="00582C5A"/>
    <w:rsid w:val="005868C4"/>
    <w:rsid w:val="005D5383"/>
    <w:rsid w:val="00606771"/>
    <w:rsid w:val="006069A8"/>
    <w:rsid w:val="00606B80"/>
    <w:rsid w:val="00607478"/>
    <w:rsid w:val="0061232A"/>
    <w:rsid w:val="006173A9"/>
    <w:rsid w:val="0062175A"/>
    <w:rsid w:val="0063529C"/>
    <w:rsid w:val="006C0FBB"/>
    <w:rsid w:val="006C6D4A"/>
    <w:rsid w:val="006D0AB8"/>
    <w:rsid w:val="006D1648"/>
    <w:rsid w:val="0072500A"/>
    <w:rsid w:val="007601DE"/>
    <w:rsid w:val="00765627"/>
    <w:rsid w:val="00771654"/>
    <w:rsid w:val="00771690"/>
    <w:rsid w:val="007718D5"/>
    <w:rsid w:val="00794576"/>
    <w:rsid w:val="00797855"/>
    <w:rsid w:val="007B316B"/>
    <w:rsid w:val="007B3329"/>
    <w:rsid w:val="007B4D32"/>
    <w:rsid w:val="007C0EC5"/>
    <w:rsid w:val="007E0521"/>
    <w:rsid w:val="007F4122"/>
    <w:rsid w:val="0083113C"/>
    <w:rsid w:val="00842172"/>
    <w:rsid w:val="00874E0D"/>
    <w:rsid w:val="00893436"/>
    <w:rsid w:val="0089756B"/>
    <w:rsid w:val="008B6E35"/>
    <w:rsid w:val="008C1004"/>
    <w:rsid w:val="008C6427"/>
    <w:rsid w:val="008F65A4"/>
    <w:rsid w:val="008F6B7F"/>
    <w:rsid w:val="00914BEC"/>
    <w:rsid w:val="0092195F"/>
    <w:rsid w:val="009416DD"/>
    <w:rsid w:val="009526FD"/>
    <w:rsid w:val="0096048C"/>
    <w:rsid w:val="009915AE"/>
    <w:rsid w:val="009A386E"/>
    <w:rsid w:val="009A3932"/>
    <w:rsid w:val="009A68DE"/>
    <w:rsid w:val="009B3B20"/>
    <w:rsid w:val="009D1301"/>
    <w:rsid w:val="009D5B34"/>
    <w:rsid w:val="00A018D3"/>
    <w:rsid w:val="00A115D9"/>
    <w:rsid w:val="00A264DF"/>
    <w:rsid w:val="00A265FE"/>
    <w:rsid w:val="00A342F9"/>
    <w:rsid w:val="00A667BD"/>
    <w:rsid w:val="00A72C76"/>
    <w:rsid w:val="00A85CED"/>
    <w:rsid w:val="00AA125E"/>
    <w:rsid w:val="00AA34F9"/>
    <w:rsid w:val="00AC00AE"/>
    <w:rsid w:val="00AC74A4"/>
    <w:rsid w:val="00AD3C99"/>
    <w:rsid w:val="00AD7AD5"/>
    <w:rsid w:val="00AF109A"/>
    <w:rsid w:val="00B31815"/>
    <w:rsid w:val="00B5387B"/>
    <w:rsid w:val="00B54426"/>
    <w:rsid w:val="00B8263F"/>
    <w:rsid w:val="00B840A1"/>
    <w:rsid w:val="00B9496C"/>
    <w:rsid w:val="00BD5D76"/>
    <w:rsid w:val="00BE5538"/>
    <w:rsid w:val="00BF791E"/>
    <w:rsid w:val="00C1276C"/>
    <w:rsid w:val="00C1368E"/>
    <w:rsid w:val="00C156E1"/>
    <w:rsid w:val="00C30890"/>
    <w:rsid w:val="00C31124"/>
    <w:rsid w:val="00C422EA"/>
    <w:rsid w:val="00C45CAD"/>
    <w:rsid w:val="00C63D7E"/>
    <w:rsid w:val="00C65078"/>
    <w:rsid w:val="00C7103E"/>
    <w:rsid w:val="00C75CAE"/>
    <w:rsid w:val="00C77635"/>
    <w:rsid w:val="00C81C95"/>
    <w:rsid w:val="00CA14FF"/>
    <w:rsid w:val="00CC30B9"/>
    <w:rsid w:val="00CF6A5D"/>
    <w:rsid w:val="00D027E5"/>
    <w:rsid w:val="00D13C07"/>
    <w:rsid w:val="00D21D0F"/>
    <w:rsid w:val="00D27706"/>
    <w:rsid w:val="00D40ADB"/>
    <w:rsid w:val="00D50F07"/>
    <w:rsid w:val="00D64DCA"/>
    <w:rsid w:val="00D65E2B"/>
    <w:rsid w:val="00D77EDD"/>
    <w:rsid w:val="00D8247F"/>
    <w:rsid w:val="00DA08CC"/>
    <w:rsid w:val="00DA3D6A"/>
    <w:rsid w:val="00DA5AC2"/>
    <w:rsid w:val="00DB7615"/>
    <w:rsid w:val="00DC1BBE"/>
    <w:rsid w:val="00DC40E2"/>
    <w:rsid w:val="00DD0264"/>
    <w:rsid w:val="00DD72B1"/>
    <w:rsid w:val="00DE5912"/>
    <w:rsid w:val="00DF53B4"/>
    <w:rsid w:val="00E0724A"/>
    <w:rsid w:val="00E11E5B"/>
    <w:rsid w:val="00E17D31"/>
    <w:rsid w:val="00E2651D"/>
    <w:rsid w:val="00E33FFB"/>
    <w:rsid w:val="00E45B7C"/>
    <w:rsid w:val="00E560EB"/>
    <w:rsid w:val="00E56CC9"/>
    <w:rsid w:val="00E643A9"/>
    <w:rsid w:val="00E877C6"/>
    <w:rsid w:val="00EA0956"/>
    <w:rsid w:val="00EA48EF"/>
    <w:rsid w:val="00EB56ED"/>
    <w:rsid w:val="00EC1AE9"/>
    <w:rsid w:val="00EE021A"/>
    <w:rsid w:val="00F13716"/>
    <w:rsid w:val="00F26B1A"/>
    <w:rsid w:val="00F56332"/>
    <w:rsid w:val="00F66FE4"/>
    <w:rsid w:val="00F8032B"/>
    <w:rsid w:val="00F8390A"/>
    <w:rsid w:val="00F84387"/>
    <w:rsid w:val="00F95168"/>
    <w:rsid w:val="00FA0646"/>
    <w:rsid w:val="00FF216A"/>
    <w:rsid w:val="00FF72DB"/>
    <w:rsid w:val="00F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5272B0-3C2F-4870-8C55-48742031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82F"/>
  </w:style>
  <w:style w:type="paragraph" w:styleId="1">
    <w:name w:val="heading 1"/>
    <w:basedOn w:val="a"/>
    <w:next w:val="a"/>
    <w:link w:val="10"/>
    <w:uiPriority w:val="9"/>
    <w:qFormat/>
    <w:rsid w:val="004A5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C708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C708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C708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0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B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6E35"/>
  </w:style>
  <w:style w:type="paragraph" w:styleId="aa">
    <w:name w:val="footer"/>
    <w:basedOn w:val="a"/>
    <w:link w:val="ab"/>
    <w:uiPriority w:val="99"/>
    <w:semiHidden/>
    <w:unhideWhenUsed/>
    <w:rsid w:val="008B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B6E35"/>
  </w:style>
  <w:style w:type="table" w:styleId="ac">
    <w:name w:val="Table Grid"/>
    <w:basedOn w:val="a1"/>
    <w:uiPriority w:val="59"/>
    <w:rsid w:val="004C32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Shading 1 Accent 5"/>
    <w:basedOn w:val="a1"/>
    <w:uiPriority w:val="63"/>
    <w:rsid w:val="004C328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4A5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4A5BB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A5BBF"/>
    <w:pPr>
      <w:spacing w:after="100"/>
    </w:pPr>
  </w:style>
  <w:style w:type="character" w:styleId="ae">
    <w:name w:val="Hyperlink"/>
    <w:basedOn w:val="a0"/>
    <w:uiPriority w:val="99"/>
    <w:unhideWhenUsed/>
    <w:rsid w:val="004A5BBF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A26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%20!!!!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AppData\Roaming\Microsoft\Excel\&#1079;&#1072;&#1075;&#1086;&#1088;&#1086;&#1076;&#1085;&#1072;&#1103;,%203&#1082;&#1074;%20(&#1042;&#1086;&#1089;&#1089;&#1090;&#1072;&#1085;&#1086;&#1074;&#1083;&#1077;&#1085;&#1085;&#1099;&#1081;)%20(version%201).xlsb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AppData\Roaming\Microsoft\Excel\&#1079;&#1072;&#1075;&#1086;&#1088;&#1086;&#1076;&#1085;&#1072;&#1103;,%203&#1082;&#1074;%20(&#1042;&#1086;&#1089;&#1089;&#1090;&#1072;&#1085;&#1086;&#1074;&#1083;&#1077;&#1085;&#1085;&#1099;&#1081;)%20(version%201).xlsb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%20!!!!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%20(&#1042;&#1086;&#1089;&#1089;&#1090;&#1072;&#1085;&#1086;&#1074;&#1083;&#1077;&#1085;&#1085;&#1099;&#1081;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%20(&#1042;&#1086;&#1089;&#1089;&#1090;&#1072;&#1085;&#1086;&#1074;&#1083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.%20201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.%20201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.%202015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.%202015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3%20&#1050;&#1042;&#1040;&#1056;&#1058;&#1040;&#1051;%202015\&#1079;&#1072;&#1075;&#1086;&#1088;&#1086;&#1076;&#1085;&#1072;&#1103;,%203&#1082;&#1074;.%202015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AppData\Roaming\Microsoft\Excel\&#1079;&#1072;&#1075;&#1086;&#1088;&#1086;&#1076;&#1085;&#1072;&#1103;,%203&#1082;&#1074;%20(version%202).xlsb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AppData\Roaming\Microsoft\Excel\&#1079;&#1072;&#1075;&#1086;&#1088;&#1086;&#1076;&#1085;&#1072;&#1103;,%203&#1082;&#1074;%20(version%202).xlsb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AppData\Roaming\Microsoft\Excel\&#1079;&#1072;&#1075;&#1086;&#1088;&#1086;&#1076;&#1085;&#1072;&#1103;,%203&#1082;&#1074;%20(version%202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Сезонность на рынке загородной недвижимости (к янв.2014г)</a:t>
            </a:r>
          </a:p>
        </c:rich>
      </c:tx>
      <c:layout>
        <c:manualLayout>
          <c:xMode val="edge"/>
          <c:yMode val="edge"/>
          <c:x val="0.14547012255558814"/>
          <c:y val="1.58715515947010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918572678415196E-2"/>
          <c:y val="0.10789743192481922"/>
          <c:w val="0.91258514560679849"/>
          <c:h val="0.61107850799416263"/>
        </c:manualLayout>
      </c:layout>
      <c:lineChart>
        <c:grouping val="standard"/>
        <c:varyColors val="0"/>
        <c:ser>
          <c:idx val="0"/>
          <c:order val="0"/>
          <c:tx>
            <c:strRef>
              <c:f>сезонность!$A$2</c:f>
              <c:strCache>
                <c:ptCount val="1"/>
                <c:pt idx="0">
                  <c:v>Индекс активности покупателей, %</c:v>
                </c:pt>
              </c:strCache>
            </c:strRef>
          </c:tx>
          <c:spPr>
            <a:ln w="19050">
              <a:prstDash val="sysDash"/>
            </a:ln>
          </c:spPr>
          <c:marker>
            <c:symbol val="circle"/>
            <c:size val="6"/>
          </c:marker>
          <c:cat>
            <c:numRef>
              <c:f>сезонность!$Z$1:$AT$1</c:f>
              <c:numCache>
                <c:formatCode>mmm\-yy</c:formatCode>
                <c:ptCount val="21"/>
                <c:pt idx="0">
                  <c:v>41640</c:v>
                </c:pt>
                <c:pt idx="1">
                  <c:v>41671</c:v>
                </c:pt>
                <c:pt idx="2">
                  <c:v>41699</c:v>
                </c:pt>
                <c:pt idx="3">
                  <c:v>41730</c:v>
                </c:pt>
                <c:pt idx="4">
                  <c:v>41760</c:v>
                </c:pt>
                <c:pt idx="5">
                  <c:v>41791</c:v>
                </c:pt>
                <c:pt idx="6">
                  <c:v>41821</c:v>
                </c:pt>
                <c:pt idx="7">
                  <c:v>41852</c:v>
                </c:pt>
                <c:pt idx="8">
                  <c:v>41883</c:v>
                </c:pt>
                <c:pt idx="9">
                  <c:v>41913</c:v>
                </c:pt>
                <c:pt idx="10">
                  <c:v>41944</c:v>
                </c:pt>
                <c:pt idx="11">
                  <c:v>41974</c:v>
                </c:pt>
                <c:pt idx="12">
                  <c:v>42005</c:v>
                </c:pt>
                <c:pt idx="13">
                  <c:v>42036</c:v>
                </c:pt>
                <c:pt idx="14">
                  <c:v>42064</c:v>
                </c:pt>
                <c:pt idx="15">
                  <c:v>42095</c:v>
                </c:pt>
                <c:pt idx="16">
                  <c:v>42125</c:v>
                </c:pt>
                <c:pt idx="17">
                  <c:v>42156</c:v>
                </c:pt>
                <c:pt idx="18">
                  <c:v>42186</c:v>
                </c:pt>
                <c:pt idx="19">
                  <c:v>42217</c:v>
                </c:pt>
                <c:pt idx="20">
                  <c:v>42248</c:v>
                </c:pt>
              </c:numCache>
            </c:numRef>
          </c:cat>
          <c:val>
            <c:numRef>
              <c:f>сезонность!$Z$6:$AT$6</c:f>
              <c:numCache>
                <c:formatCode>0</c:formatCode>
                <c:ptCount val="21"/>
                <c:pt idx="0">
                  <c:v>100</c:v>
                </c:pt>
                <c:pt idx="1">
                  <c:v>89.65517241379311</c:v>
                </c:pt>
                <c:pt idx="2">
                  <c:v>124.13793103448276</c:v>
                </c:pt>
                <c:pt idx="3">
                  <c:v>114.58885941644563</c:v>
                </c:pt>
                <c:pt idx="4">
                  <c:v>105.83554376657824</c:v>
                </c:pt>
                <c:pt idx="5">
                  <c:v>83.289124668435008</c:v>
                </c:pt>
                <c:pt idx="6">
                  <c:v>94.960212201591503</c:v>
                </c:pt>
                <c:pt idx="7">
                  <c:v>110.61007957559681</c:v>
                </c:pt>
                <c:pt idx="8">
                  <c:v>100.26525198938991</c:v>
                </c:pt>
                <c:pt idx="9">
                  <c:v>88.063660477453581</c:v>
                </c:pt>
                <c:pt idx="10">
                  <c:v>86.206896551724128</c:v>
                </c:pt>
                <c:pt idx="11">
                  <c:v>120.42440318302387</c:v>
                </c:pt>
                <c:pt idx="12">
                  <c:v>117.24137931034481</c:v>
                </c:pt>
                <c:pt idx="13">
                  <c:v>105.03978779840848</c:v>
                </c:pt>
                <c:pt idx="14">
                  <c:v>120.42440318302387</c:v>
                </c:pt>
                <c:pt idx="15">
                  <c:v>114.85411140583554</c:v>
                </c:pt>
                <c:pt idx="16">
                  <c:v>131.83023872679044</c:v>
                </c:pt>
                <c:pt idx="17">
                  <c:v>141.90981432360743</c:v>
                </c:pt>
                <c:pt idx="18">
                  <c:v>115.11936339522546</c:v>
                </c:pt>
                <c:pt idx="19">
                  <c:v>129.973474801061</c:v>
                </c:pt>
                <c:pt idx="20">
                  <c:v>97.877984084880637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532264"/>
        <c:axId val="428530696"/>
      </c:lineChart>
      <c:dateAx>
        <c:axId val="42853226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28530696"/>
        <c:crosses val="autoZero"/>
        <c:auto val="1"/>
        <c:lblOffset val="100"/>
        <c:baseTimeUnit val="months"/>
      </c:dateAx>
      <c:valAx>
        <c:axId val="428530696"/>
        <c:scaling>
          <c:orientation val="minMax"/>
          <c:max val="220"/>
          <c:min val="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28532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1203533974542822E-2"/>
          <c:y val="0.93484095061022066"/>
          <c:w val="0.95277174729896563"/>
          <c:h val="4.8716631433006696E-2"/>
        </c:manualLayout>
      </c:layout>
      <c:overlay val="0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коттеджей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3388677791422862"/>
          <c:y val="4.127968318005676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086956102964818"/>
          <c:y val="0.28527673964611283"/>
          <c:w val="0.4221656787283613"/>
          <c:h val="0.58524525555801277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862520166630548E-2"/>
                  <c:y val="3.37645055831584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0268583399552123E-2"/>
                  <c:y val="-2.063141673764783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20811827879313274"/>
                  <c:y val="-2.822555218889583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7740944939511938"/>
                  <c:y val="-7.905871921169472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7722721700529653"/>
                  <c:y val="-0.1328383455103000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4860670856509944"/>
                  <c:y val="-0.1391739642862481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2862481639336368"/>
                  <c:y val="-0.1011017449929701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31755835382451586"/>
                  <c:y val="-5.830186434651013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коттеджи!$B$3:$B$11</c:f>
              <c:numCache>
                <c:formatCode>General</c:formatCode>
                <c:ptCount val="9"/>
                <c:pt idx="0">
                  <c:v>358</c:v>
                </c:pt>
                <c:pt idx="1">
                  <c:v>263</c:v>
                </c:pt>
                <c:pt idx="2">
                  <c:v>181</c:v>
                </c:pt>
                <c:pt idx="3">
                  <c:v>56</c:v>
                </c:pt>
                <c:pt idx="4">
                  <c:v>203</c:v>
                </c:pt>
                <c:pt idx="5">
                  <c:v>121</c:v>
                </c:pt>
                <c:pt idx="6">
                  <c:v>110</c:v>
                </c:pt>
                <c:pt idx="7">
                  <c:v>27</c:v>
                </c:pt>
                <c:pt idx="8">
                  <c:v>47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Динамика удельной цены предложения коттеджей, руб./кв.м.</a:t>
            </a:r>
          </a:p>
        </c:rich>
      </c:tx>
      <c:layout>
        <c:manualLayout>
          <c:xMode val="edge"/>
          <c:yMode val="edge"/>
          <c:x val="0.17836972343522559"/>
          <c:y val="1.03991647884163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коттеджи!$A$41</c:f>
              <c:strCache>
                <c:ptCount val="1"/>
                <c:pt idx="0">
                  <c:v>Удельная цена предложения коттеджей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20634920635045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841269841270061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коттеджи!$C$42:$G$42</c:f>
              <c:strCache>
                <c:ptCount val="5"/>
                <c:pt idx="0">
                  <c:v>3 кв.2014</c:v>
                </c:pt>
                <c:pt idx="1">
                  <c:v>4 кв.2014</c:v>
                </c:pt>
                <c:pt idx="2">
                  <c:v>1 кв.2015</c:v>
                </c:pt>
                <c:pt idx="3">
                  <c:v>2 кв.2015</c:v>
                </c:pt>
                <c:pt idx="4">
                  <c:v>3 кв.2015</c:v>
                </c:pt>
              </c:strCache>
            </c:strRef>
          </c:cat>
          <c:val>
            <c:numRef>
              <c:f>коттеджи!$C$43:$G$43</c:f>
              <c:numCache>
                <c:formatCode>General</c:formatCode>
                <c:ptCount val="5"/>
                <c:pt idx="0">
                  <c:v>42064</c:v>
                </c:pt>
                <c:pt idx="1">
                  <c:v>41919</c:v>
                </c:pt>
                <c:pt idx="2">
                  <c:v>42413</c:v>
                </c:pt>
                <c:pt idx="3">
                  <c:v>42356</c:v>
                </c:pt>
                <c:pt idx="4">
                  <c:v>42504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4"/>
        <c:axId val="488921248"/>
        <c:axId val="488922032"/>
      </c:barChart>
      <c:catAx>
        <c:axId val="488921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22032"/>
        <c:crosses val="autoZero"/>
        <c:auto val="1"/>
        <c:lblAlgn val="ctr"/>
        <c:lblOffset val="100"/>
        <c:noMultiLvlLbl val="0"/>
      </c:catAx>
      <c:valAx>
        <c:axId val="488922032"/>
        <c:scaling>
          <c:orientation val="minMax"/>
          <c:max val="700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21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средней цены коттеджей в разрезе по трактам, тыс.руб.</a:t>
            </a:r>
          </a:p>
        </c:rich>
      </c:tx>
      <c:layout>
        <c:manualLayout>
          <c:xMode val="edge"/>
          <c:yMode val="edge"/>
          <c:x val="0.17924650043744533"/>
          <c:y val="1.0399367692674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918572678415196E-2"/>
          <c:y val="0.10789743192481922"/>
          <c:w val="0.86893435195600555"/>
          <c:h val="0.54388958482462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коттеджи!$G$23</c:f>
              <c:strCache>
                <c:ptCount val="1"/>
                <c:pt idx="0">
                  <c:v>2 кв.2015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9417470780146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206349206350294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841269841270035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1904761904761921E-2"/>
                  <c:y val="2.2653715910171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коттеджи!$A$24:$A$31</c:f>
              <c:strCache>
                <c:ptCount val="8"/>
                <c:pt idx="0">
                  <c:v>черта г.Тюмень</c:v>
                </c:pt>
                <c:pt idx="1">
                  <c:v>Червишевский тракт</c:v>
                </c:pt>
                <c:pt idx="2">
                  <c:v>Московский тракт</c:v>
                </c:pt>
                <c:pt idx="3">
                  <c:v>Ялуторовский тракт</c:v>
                </c:pt>
                <c:pt idx="4">
                  <c:v>Салаирский тракт</c:v>
                </c:pt>
                <c:pt idx="5">
                  <c:v>Ирбитский тракт</c:v>
                </c:pt>
                <c:pt idx="6">
                  <c:v>Старый Тобольский тракт</c:v>
                </c:pt>
                <c:pt idx="7">
                  <c:v>Велижанский тракт</c:v>
                </c:pt>
              </c:strCache>
            </c:strRef>
          </c:cat>
          <c:val>
            <c:numRef>
              <c:f>коттеджи!$G$24:$G$31</c:f>
              <c:numCache>
                <c:formatCode>General</c:formatCode>
                <c:ptCount val="8"/>
                <c:pt idx="0">
                  <c:v>13721</c:v>
                </c:pt>
                <c:pt idx="1">
                  <c:v>12555</c:v>
                </c:pt>
                <c:pt idx="2">
                  <c:v>10467</c:v>
                </c:pt>
                <c:pt idx="3">
                  <c:v>9496</c:v>
                </c:pt>
                <c:pt idx="4">
                  <c:v>9142</c:v>
                </c:pt>
                <c:pt idx="5">
                  <c:v>8753</c:v>
                </c:pt>
                <c:pt idx="6">
                  <c:v>6250</c:v>
                </c:pt>
                <c:pt idx="7">
                  <c:v>5439</c:v>
                </c:pt>
              </c:numCache>
            </c:numRef>
          </c:val>
        </c:ser>
        <c:ser>
          <c:idx val="1"/>
          <c:order val="1"/>
          <c:tx>
            <c:strRef>
              <c:f>коттеджи!$H$23</c:f>
              <c:strCache>
                <c:ptCount val="1"/>
                <c:pt idx="0">
                  <c:v>3 кв.2015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7619047619047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145709059094885E-2"/>
                  <c:y val="-8.01799775028121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809523809523846E-2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9206349206349964E-3"/>
                  <c:y val="-1.2945235342548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8888888888889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8571428571428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9682539682539802E-3"/>
                  <c:y val="6.47249026004889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9206349206350294E-3"/>
                  <c:y val="-2.96652376632016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коттеджи!$A$24:$A$31</c:f>
              <c:strCache>
                <c:ptCount val="8"/>
                <c:pt idx="0">
                  <c:v>черта г.Тюмень</c:v>
                </c:pt>
                <c:pt idx="1">
                  <c:v>Червишевский тракт</c:v>
                </c:pt>
                <c:pt idx="2">
                  <c:v>Московский тракт</c:v>
                </c:pt>
                <c:pt idx="3">
                  <c:v>Ялуторовский тракт</c:v>
                </c:pt>
                <c:pt idx="4">
                  <c:v>Салаирский тракт</c:v>
                </c:pt>
                <c:pt idx="5">
                  <c:v>Ирбитский тракт</c:v>
                </c:pt>
                <c:pt idx="6">
                  <c:v>Старый Тобольский тракт</c:v>
                </c:pt>
                <c:pt idx="7">
                  <c:v>Велижанский тракт</c:v>
                </c:pt>
              </c:strCache>
            </c:strRef>
          </c:cat>
          <c:val>
            <c:numRef>
              <c:f>коттеджи!$H$24:$H$31</c:f>
              <c:numCache>
                <c:formatCode>0</c:formatCode>
                <c:ptCount val="8"/>
                <c:pt idx="0">
                  <c:v>13441.271186440677</c:v>
                </c:pt>
                <c:pt idx="1">
                  <c:v>12198.268156424581</c:v>
                </c:pt>
                <c:pt idx="2">
                  <c:v>10852.432950191571</c:v>
                </c:pt>
                <c:pt idx="3">
                  <c:v>10893.268907563026</c:v>
                </c:pt>
                <c:pt idx="4">
                  <c:v>8696.6517412935318</c:v>
                </c:pt>
                <c:pt idx="5">
                  <c:v>9002.2935779816507</c:v>
                </c:pt>
                <c:pt idx="6">
                  <c:v>6843.260869565217</c:v>
                </c:pt>
                <c:pt idx="7">
                  <c:v>5678.545454545455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6"/>
        <c:axId val="488913408"/>
        <c:axId val="488913800"/>
      </c:barChart>
      <c:lineChart>
        <c:grouping val="standard"/>
        <c:varyColors val="0"/>
        <c:ser>
          <c:idx val="2"/>
          <c:order val="2"/>
          <c:tx>
            <c:strRef>
              <c:f>коттеджи!$I$23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prstDash val="dashDot"/>
            </a:ln>
          </c:spPr>
          <c:marker>
            <c:symbol val="circle"/>
            <c:size val="7"/>
            <c:spPr>
              <a:solidFill>
                <a:schemeClr val="accent3">
                  <a:lumMod val="60000"/>
                  <a:lumOff val="40000"/>
                </a:schemeClr>
              </a:solidFill>
            </c:spPr>
          </c:marker>
          <c:dLbls>
            <c:dLbl>
              <c:idx val="3"/>
              <c:layout>
                <c:manualLayout>
                  <c:x val="-5.0173728283964575E-2"/>
                  <c:y val="-3.9403185397279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7.4433637990562573E-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Старый Тобольский тракт</c:v>
                </c:pt>
                <c:pt idx="4">
                  <c:v>Ялуторовский тракт</c:v>
                </c:pt>
                <c:pt idx="5">
                  <c:v>Московский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коттеджи!$I$24:$I$31</c:f>
              <c:numCache>
                <c:formatCode>0.0</c:formatCode>
                <c:ptCount val="8"/>
                <c:pt idx="0">
                  <c:v>-2.0386911563247736</c:v>
                </c:pt>
                <c:pt idx="1">
                  <c:v>-2.8413527962996312</c:v>
                </c:pt>
                <c:pt idx="2">
                  <c:v>3.6823631431314681</c:v>
                </c:pt>
                <c:pt idx="3">
                  <c:v>14.714289254033559</c:v>
                </c:pt>
                <c:pt idx="4">
                  <c:v>-4.8714532783468343</c:v>
                </c:pt>
                <c:pt idx="5">
                  <c:v>2.8480929736279137</c:v>
                </c:pt>
                <c:pt idx="6">
                  <c:v>9.492173913043473</c:v>
                </c:pt>
                <c:pt idx="7">
                  <c:v>4.4042186899329892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6922576"/>
        <c:axId val="488915368"/>
      </c:lineChart>
      <c:catAx>
        <c:axId val="488913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204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13800"/>
        <c:crosses val="autoZero"/>
        <c:auto val="1"/>
        <c:lblAlgn val="ctr"/>
        <c:lblOffset val="100"/>
        <c:noMultiLvlLbl val="0"/>
      </c:catAx>
      <c:valAx>
        <c:axId val="488913800"/>
        <c:scaling>
          <c:orientation val="minMax"/>
          <c:max val="155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4.7572178477690293E-4"/>
              <c:y val="4.660040093764473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13408"/>
        <c:crosses val="autoZero"/>
        <c:crossBetween val="between"/>
      </c:valAx>
      <c:valAx>
        <c:axId val="488915368"/>
        <c:scaling>
          <c:orientation val="minMax"/>
          <c:max val="30"/>
          <c:min val="-3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6922576"/>
        <c:crosses val="max"/>
        <c:crossBetween val="between"/>
      </c:valAx>
      <c:catAx>
        <c:axId val="486922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88915368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24262592175977987"/>
          <c:y val="0.88582144947597063"/>
          <c:w val="0.59261920384951872"/>
          <c:h val="8.1247912192794078E-2"/>
        </c:manualLayout>
      </c:layout>
      <c:overlay val="0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таунхаусов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8.7403613388880669E-2"/>
          <c:y val="2.47678099080340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810564941518233"/>
          <c:y val="0.36783614548181481"/>
          <c:w val="0.4221656787283613"/>
          <c:h val="0.58524525555801254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894868646006406E-2"/>
                  <c:y val="-1.16431459149040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430527036276524"/>
                  <c:y val="0.195750411198600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5184918107002779"/>
                  <c:y val="0.1514143132108489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7740944939511927"/>
                  <c:y val="-7.905871921169472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7722721700529648"/>
                  <c:y val="-0.1328383455102999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5217318018733934E-3"/>
                  <c:y val="-0.1887095841023184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2862481639336368"/>
                  <c:y val="-0.1011017449929701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31755835382451564"/>
                  <c:y val="-5.830186434651013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solidFill>
                  <a:sysClr val="window" lastClr="FFFFFF">
                    <a:lumMod val="85000"/>
                  </a:sys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таунхаусы!$B$3:$B$11</c:f>
              <c:numCache>
                <c:formatCode>General</c:formatCode>
                <c:ptCount val="9"/>
                <c:pt idx="0">
                  <c:v>48</c:v>
                </c:pt>
                <c:pt idx="1">
                  <c:v>43</c:v>
                </c:pt>
                <c:pt idx="2">
                  <c:v>11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удельной цены предложения таунхаусов, руб./кв.м.</a:t>
            </a:r>
          </a:p>
        </c:rich>
      </c:tx>
      <c:layout>
        <c:manualLayout>
          <c:xMode val="edge"/>
          <c:yMode val="edge"/>
          <c:x val="0.19046682483466859"/>
          <c:y val="4.859058045253641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таунхаусы!$A$42</c:f>
              <c:strCache>
                <c:ptCount val="1"/>
                <c:pt idx="0">
                  <c:v>Удельная цена предложения таунхаусов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20634920635038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841269841270053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strRef>
              <c:f>таунхаусы!$B$43:$G$43</c:f>
              <c:strCache>
                <c:ptCount val="6"/>
                <c:pt idx="0">
                  <c:v>2 кв.2014</c:v>
                </c:pt>
                <c:pt idx="1">
                  <c:v>3 кв.2014</c:v>
                </c:pt>
                <c:pt idx="2">
                  <c:v>4 кв.2014</c:v>
                </c:pt>
                <c:pt idx="3">
                  <c:v>1 кв.2015</c:v>
                </c:pt>
                <c:pt idx="4">
                  <c:v>2 кв.2015</c:v>
                </c:pt>
                <c:pt idx="5">
                  <c:v>3 кв.2015</c:v>
                </c:pt>
              </c:strCache>
            </c:strRef>
          </c:cat>
          <c:val>
            <c:numRef>
              <c:f>таунхаусы!$B$44:$G$44</c:f>
              <c:numCache>
                <c:formatCode>General</c:formatCode>
                <c:ptCount val="6"/>
                <c:pt idx="0">
                  <c:v>49873</c:v>
                </c:pt>
                <c:pt idx="1">
                  <c:v>48431</c:v>
                </c:pt>
                <c:pt idx="2">
                  <c:v>45197</c:v>
                </c:pt>
                <c:pt idx="3">
                  <c:v>43904</c:v>
                </c:pt>
                <c:pt idx="4">
                  <c:v>47568</c:v>
                </c:pt>
                <c:pt idx="5">
                  <c:v>49045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6"/>
        <c:axId val="486923752"/>
        <c:axId val="486931592"/>
      </c:barChart>
      <c:catAx>
        <c:axId val="486923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6931592"/>
        <c:crosses val="autoZero"/>
        <c:auto val="1"/>
        <c:lblAlgn val="ctr"/>
        <c:lblOffset val="100"/>
        <c:noMultiLvlLbl val="0"/>
      </c:catAx>
      <c:valAx>
        <c:axId val="486931592"/>
        <c:scaling>
          <c:orientation val="minMax"/>
          <c:max val="700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6923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Объем предложения  (к янв.2013г.), %</a:t>
            </a:r>
          </a:p>
        </c:rich>
      </c:tx>
      <c:layout>
        <c:manualLayout>
          <c:xMode val="edge"/>
          <c:yMode val="edge"/>
          <c:x val="0.30384830120759404"/>
          <c:y val="6.48911783584912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277310924369768E-2"/>
          <c:y val="0.10789754728934746"/>
          <c:w val="0.88990089554419283"/>
          <c:h val="0.72872577147050532"/>
        </c:manualLayout>
      </c:layout>
      <c:lineChart>
        <c:grouping val="standard"/>
        <c:varyColors val="0"/>
        <c:ser>
          <c:idx val="0"/>
          <c:order val="0"/>
          <c:tx>
            <c:strRef>
              <c:f>'объем предложения'!$A$3</c:f>
              <c:strCache>
                <c:ptCount val="1"/>
                <c:pt idx="0">
                  <c:v>Объем предложения</c:v>
                </c:pt>
              </c:strCache>
            </c:strRef>
          </c:tx>
          <c:spPr>
            <a:ln w="19050">
              <a:prstDash val="sysDash"/>
            </a:ln>
          </c:spPr>
          <c:marker>
            <c:symbol val="circle"/>
            <c:size val="6"/>
          </c:marker>
          <c:cat>
            <c:strRef>
              <c:f>'объем предложения'!$E$2:$O$2</c:f>
              <c:strCache>
                <c:ptCount val="11"/>
                <c:pt idx="0">
                  <c:v>1 кв.2013</c:v>
                </c:pt>
                <c:pt idx="1">
                  <c:v>2 кв.2013</c:v>
                </c:pt>
                <c:pt idx="2">
                  <c:v>3 кв. 2013</c:v>
                </c:pt>
                <c:pt idx="3">
                  <c:v>4 кв.2013</c:v>
                </c:pt>
                <c:pt idx="4">
                  <c:v>1 кв.2014</c:v>
                </c:pt>
                <c:pt idx="5">
                  <c:v>2 кв.2014</c:v>
                </c:pt>
                <c:pt idx="6">
                  <c:v>3 кв.2014</c:v>
                </c:pt>
                <c:pt idx="7">
                  <c:v>4 кв.2014</c:v>
                </c:pt>
                <c:pt idx="8">
                  <c:v>1 кв.2015</c:v>
                </c:pt>
                <c:pt idx="9">
                  <c:v>2 кв.2015</c:v>
                </c:pt>
                <c:pt idx="10">
                  <c:v>3 кв.2015</c:v>
                </c:pt>
              </c:strCache>
            </c:strRef>
          </c:cat>
          <c:val>
            <c:numRef>
              <c:f>'объем предложения'!$E$4:$O$4</c:f>
              <c:numCache>
                <c:formatCode>0</c:formatCode>
                <c:ptCount val="11"/>
                <c:pt idx="0">
                  <c:v>100</c:v>
                </c:pt>
                <c:pt idx="1">
                  <c:v>116.9741148467718</c:v>
                </c:pt>
                <c:pt idx="2">
                  <c:v>130.80928295150252</c:v>
                </c:pt>
                <c:pt idx="3">
                  <c:v>131.7465040166617</c:v>
                </c:pt>
                <c:pt idx="4">
                  <c:v>143.39482296935435</c:v>
                </c:pt>
                <c:pt idx="5">
                  <c:v>166.02201725676881</c:v>
                </c:pt>
                <c:pt idx="6">
                  <c:v>175.87027670336209</c:v>
                </c:pt>
                <c:pt idx="7">
                  <c:v>167.73281761380539</c:v>
                </c:pt>
                <c:pt idx="8">
                  <c:v>188.26242189824458</c:v>
                </c:pt>
                <c:pt idx="9">
                  <c:v>216.0666468313002</c:v>
                </c:pt>
                <c:pt idx="10">
                  <c:v>230.16959238321931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533048"/>
        <c:axId val="428531872"/>
      </c:lineChart>
      <c:catAx>
        <c:axId val="428533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1320000" vert="horz"/>
          <a:lstStyle/>
          <a:p>
            <a:pPr>
              <a:defRPr sz="900" b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28531872"/>
        <c:crosses val="autoZero"/>
        <c:auto val="1"/>
        <c:lblAlgn val="ctr"/>
        <c:lblOffset val="100"/>
        <c:noMultiLvlLbl val="0"/>
      </c:catAx>
      <c:valAx>
        <c:axId val="428531872"/>
        <c:scaling>
          <c:orientation val="minMax"/>
          <c:max val="250"/>
          <c:min val="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285330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ru-RU" sz="1100">
                <a:latin typeface="Arial" pitchFamily="34" charset="0"/>
                <a:cs typeface="Arial" pitchFamily="34" charset="0"/>
              </a:rPr>
              <a:t>Структура предложения земельных участков по направлениям</a:t>
            </a:r>
          </a:p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ru-RU" sz="11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204834790146644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46095017939273"/>
          <c:y val="0.29353267628212432"/>
          <c:w val="0.4221656787283613"/>
          <c:h val="0.58524525555801343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04100748875079E-2"/>
                  <c:y val="0.1163238719432727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269642900142082E-2"/>
                  <c:y val="6.77835150397818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8548387873534162E-2"/>
                  <c:y val="3.394620119652574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3581930699029732"/>
                  <c:y val="-1.61618085571809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7777745671699767E-2"/>
                  <c:y val="1.164054561990079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2337595415251994E-2"/>
                  <c:y val="-4.83586612901235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7718567747838837"/>
                  <c:y val="-8.87178400389533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40073876086590132"/>
                  <c:y val="-8.42615844767586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земля!$A$22:$A$30</c:f>
              <c:strCache>
                <c:ptCount val="9"/>
                <c:pt idx="0">
                  <c:v>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земля!$B$22:$B$30</c:f>
              <c:numCache>
                <c:formatCode>General</c:formatCode>
                <c:ptCount val="9"/>
                <c:pt idx="0">
                  <c:v>522</c:v>
                </c:pt>
                <c:pt idx="1">
                  <c:v>1243</c:v>
                </c:pt>
                <c:pt idx="2">
                  <c:v>435</c:v>
                </c:pt>
                <c:pt idx="3">
                  <c:v>1134</c:v>
                </c:pt>
                <c:pt idx="4">
                  <c:v>1927</c:v>
                </c:pt>
                <c:pt idx="5">
                  <c:v>595</c:v>
                </c:pt>
                <c:pt idx="6">
                  <c:v>781</c:v>
                </c:pt>
                <c:pt idx="7">
                  <c:v>459</c:v>
                </c:pt>
                <c:pt idx="8">
                  <c:v>601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удельной цены предложения земельных участков, руб./сот.</a:t>
            </a:r>
          </a:p>
        </c:rich>
      </c:tx>
      <c:layout>
        <c:manualLayout>
          <c:xMode val="edge"/>
          <c:yMode val="edge"/>
          <c:x val="0.1362925761842412"/>
          <c:y val="1.0509738914214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149260638016712E-2"/>
          <c:y val="0.1550756794378339"/>
          <c:w val="0.91420357479469649"/>
          <c:h val="0.66488745198240951"/>
        </c:manualLayout>
      </c:layout>
      <c:lineChart>
        <c:grouping val="standard"/>
        <c:varyColors val="0"/>
        <c:ser>
          <c:idx val="0"/>
          <c:order val="0"/>
          <c:spPr>
            <a:ln w="22225"/>
          </c:spPr>
          <c:marker>
            <c:symbol val="circle"/>
            <c:size val="7"/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земля!$G$2:$Q$2</c:f>
              <c:strCache>
                <c:ptCount val="11"/>
                <c:pt idx="0">
                  <c:v>1 кв.2013</c:v>
                </c:pt>
                <c:pt idx="1">
                  <c:v>2 кв.2013</c:v>
                </c:pt>
                <c:pt idx="2">
                  <c:v>3 кв. 2013</c:v>
                </c:pt>
                <c:pt idx="3">
                  <c:v>4 кв.2013</c:v>
                </c:pt>
                <c:pt idx="4">
                  <c:v>1 кв.2014</c:v>
                </c:pt>
                <c:pt idx="5">
                  <c:v>2 кв.2014</c:v>
                </c:pt>
                <c:pt idx="6">
                  <c:v>3 кв.2014</c:v>
                </c:pt>
                <c:pt idx="7">
                  <c:v>4 кв.2014</c:v>
                </c:pt>
                <c:pt idx="8">
                  <c:v>1 кв.2015</c:v>
                </c:pt>
                <c:pt idx="9">
                  <c:v>2 кв.2015</c:v>
                </c:pt>
                <c:pt idx="10">
                  <c:v>3 кв.2015</c:v>
                </c:pt>
              </c:strCache>
            </c:strRef>
          </c:cat>
          <c:val>
            <c:numRef>
              <c:f>земля!$G$3:$Q$3</c:f>
              <c:numCache>
                <c:formatCode>General</c:formatCode>
                <c:ptCount val="11"/>
                <c:pt idx="0">
                  <c:v>84289</c:v>
                </c:pt>
                <c:pt idx="1">
                  <c:v>79651</c:v>
                </c:pt>
                <c:pt idx="2">
                  <c:v>80109</c:v>
                </c:pt>
                <c:pt idx="3">
                  <c:v>84669</c:v>
                </c:pt>
                <c:pt idx="4">
                  <c:v>86791</c:v>
                </c:pt>
                <c:pt idx="5">
                  <c:v>86611</c:v>
                </c:pt>
                <c:pt idx="6">
                  <c:v>85588</c:v>
                </c:pt>
                <c:pt idx="7">
                  <c:v>83942</c:v>
                </c:pt>
                <c:pt idx="8">
                  <c:v>81984</c:v>
                </c:pt>
                <c:pt idx="9">
                  <c:v>77676</c:v>
                </c:pt>
                <c:pt idx="10">
                  <c:v>77284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905960"/>
        <c:axId val="488908704"/>
      </c:lineChart>
      <c:catAx>
        <c:axId val="488905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1500000"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08704"/>
        <c:crosses val="autoZero"/>
        <c:auto val="1"/>
        <c:lblAlgn val="ctr"/>
        <c:lblOffset val="100"/>
        <c:noMultiLvlLbl val="0"/>
      </c:catAx>
      <c:valAx>
        <c:axId val="488908704"/>
        <c:scaling>
          <c:orientation val="minMax"/>
          <c:max val="110000"/>
          <c:min val="50000"/>
        </c:scaling>
        <c:delete val="1"/>
        <c:axPos val="l"/>
        <c:numFmt formatCode="General" sourceLinked="1"/>
        <c:majorTickMark val="out"/>
        <c:minorTickMark val="none"/>
        <c:tickLblPos val="nextTo"/>
        <c:crossAx val="4889059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домов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583516097185098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417231332322366"/>
          <c:y val="0.23161315151204048"/>
          <c:w val="0.4221656787283613"/>
          <c:h val="0.58524525555801321"/>
        </c:manualLayout>
      </c:layout>
      <c:pie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0.11649941005080787"/>
                  <c:y val="0.145732558358745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7982999831443082E-2"/>
                  <c:y val="0.1245798085792835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589684316983433E-2"/>
                  <c:y val="2.24789002312312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5184916564328541"/>
                  <c:y val="3.31053307997792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7740944939511952"/>
                  <c:y val="-7.905871921169472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0007695827012462"/>
                  <c:y val="-4.871327652122204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5839264128681171"/>
                  <c:y val="-2.77188197000950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105035035758142E-2"/>
                  <c:y val="-5.982206181291350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31755835382451614"/>
                  <c:y val="-5.830186434651013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дома!$B$3:$B$11</c:f>
              <c:numCache>
                <c:formatCode>General</c:formatCode>
                <c:ptCount val="9"/>
                <c:pt idx="0">
                  <c:v>876</c:v>
                </c:pt>
                <c:pt idx="1">
                  <c:v>434</c:v>
                </c:pt>
                <c:pt idx="2">
                  <c:v>391</c:v>
                </c:pt>
                <c:pt idx="3">
                  <c:v>365</c:v>
                </c:pt>
                <c:pt idx="4">
                  <c:v>454</c:v>
                </c:pt>
                <c:pt idx="5">
                  <c:v>434</c:v>
                </c:pt>
                <c:pt idx="6">
                  <c:v>240</c:v>
                </c:pt>
                <c:pt idx="7">
                  <c:v>235</c:v>
                </c:pt>
                <c:pt idx="8">
                  <c:v>162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удельной цены предложения домов, руб./кв.м.</a:t>
            </a:r>
          </a:p>
        </c:rich>
      </c:tx>
      <c:layout>
        <c:manualLayout>
          <c:xMode val="edge"/>
          <c:yMode val="edge"/>
          <c:x val="0.18173320038052013"/>
          <c:y val="5.44253529647084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59153565400284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дома!$A$37</c:f>
              <c:strCache>
                <c:ptCount val="1"/>
                <c:pt idx="0">
                  <c:v>Удельная цена предложения домов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206349206350571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841269841270079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strRef>
              <c:f>дома!$C$38:$G$38</c:f>
              <c:strCache>
                <c:ptCount val="5"/>
                <c:pt idx="0">
                  <c:v>3 кв.2014</c:v>
                </c:pt>
                <c:pt idx="1">
                  <c:v>4 кв.2014</c:v>
                </c:pt>
                <c:pt idx="2">
                  <c:v>1 кв.2015</c:v>
                </c:pt>
                <c:pt idx="3">
                  <c:v>2 кв.2015</c:v>
                </c:pt>
                <c:pt idx="4">
                  <c:v>3 кв.2015</c:v>
                </c:pt>
              </c:strCache>
            </c:strRef>
          </c:cat>
          <c:val>
            <c:numRef>
              <c:f>дома!$C$39:$G$39</c:f>
              <c:numCache>
                <c:formatCode>General</c:formatCode>
                <c:ptCount val="5"/>
                <c:pt idx="0">
                  <c:v>38003</c:v>
                </c:pt>
                <c:pt idx="1">
                  <c:v>37167</c:v>
                </c:pt>
                <c:pt idx="2">
                  <c:v>36845</c:v>
                </c:pt>
                <c:pt idx="3">
                  <c:v>35701</c:v>
                </c:pt>
                <c:pt idx="4">
                  <c:v>35337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4"/>
        <c:axId val="488909880"/>
        <c:axId val="488910272"/>
      </c:barChart>
      <c:catAx>
        <c:axId val="4889098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10272"/>
        <c:crosses val="autoZero"/>
        <c:auto val="1"/>
        <c:lblAlgn val="ctr"/>
        <c:lblOffset val="100"/>
        <c:noMultiLvlLbl val="0"/>
      </c:catAx>
      <c:valAx>
        <c:axId val="488910272"/>
        <c:scaling>
          <c:orientation val="minMax"/>
          <c:max val="500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09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средней цены домов в разрезе по трактам, тыс.руб.</a:t>
            </a:r>
          </a:p>
        </c:rich>
      </c:tx>
      <c:layout>
        <c:manualLayout>
          <c:xMode val="edge"/>
          <c:yMode val="edge"/>
          <c:x val="0.21534786014088081"/>
          <c:y val="1.97775123310824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511468834062089E-2"/>
          <c:y val="0.10789731469894535"/>
          <c:w val="0.86893431246654518"/>
          <c:h val="0.54229030554380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дома!$G$23</c:f>
              <c:strCache>
                <c:ptCount val="1"/>
                <c:pt idx="0">
                  <c:v>2 кв.2015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20634920635019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0114266015534851E-2"/>
                  <c:y val="9.70884831346542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033422382487672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Старый Тобольский тракт</c:v>
                </c:pt>
                <c:pt idx="4">
                  <c:v>Ялуторовский тракт</c:v>
                </c:pt>
                <c:pt idx="5">
                  <c:v>Московский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дома!$G$24:$G$32</c:f>
              <c:numCache>
                <c:formatCode>General</c:formatCode>
                <c:ptCount val="9"/>
                <c:pt idx="0">
                  <c:v>4254</c:v>
                </c:pt>
                <c:pt idx="1">
                  <c:v>4099</c:v>
                </c:pt>
                <c:pt idx="2">
                  <c:v>3585</c:v>
                </c:pt>
                <c:pt idx="3">
                  <c:v>3528</c:v>
                </c:pt>
                <c:pt idx="4">
                  <c:v>3139</c:v>
                </c:pt>
                <c:pt idx="5">
                  <c:v>3135</c:v>
                </c:pt>
                <c:pt idx="6">
                  <c:v>3019</c:v>
                </c:pt>
                <c:pt idx="7">
                  <c:v>2803</c:v>
                </c:pt>
                <c:pt idx="8">
                  <c:v>2573</c:v>
                </c:pt>
              </c:numCache>
            </c:numRef>
          </c:val>
        </c:ser>
        <c:ser>
          <c:idx val="1"/>
          <c:order val="1"/>
          <c:tx>
            <c:strRef>
              <c:f>дома!$H$23</c:f>
              <c:strCache>
                <c:ptCount val="1"/>
                <c:pt idx="0">
                  <c:v>3 кв.2015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571428571428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817463409044426E-3"/>
                  <c:y val="8.5864963473992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523809523809521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759646706469836E-2"/>
                  <c:y val="9.7085232766956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9206349206350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9523809523809521E-3"/>
                  <c:y val="-6.47249026004889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920634920635019E-3"/>
                  <c:y val="-2.96652376632014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Старый Тобольский тракт</c:v>
                </c:pt>
                <c:pt idx="4">
                  <c:v>Ялуторовский тракт</c:v>
                </c:pt>
                <c:pt idx="5">
                  <c:v>Московский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дома!$H$24:$H$32</c:f>
              <c:numCache>
                <c:formatCode>0</c:formatCode>
                <c:ptCount val="9"/>
                <c:pt idx="0">
                  <c:v>4150.9331026528262</c:v>
                </c:pt>
                <c:pt idx="1">
                  <c:v>4141.2605042016803</c:v>
                </c:pt>
                <c:pt idx="2">
                  <c:v>3480.6614699331849</c:v>
                </c:pt>
                <c:pt idx="3">
                  <c:v>3509.125</c:v>
                </c:pt>
                <c:pt idx="4">
                  <c:v>3137.5337995337995</c:v>
                </c:pt>
                <c:pt idx="5">
                  <c:v>3048.5302325581397</c:v>
                </c:pt>
                <c:pt idx="6">
                  <c:v>2938.1115879828326</c:v>
                </c:pt>
                <c:pt idx="7">
                  <c:v>2736.043927648579</c:v>
                </c:pt>
                <c:pt idx="8">
                  <c:v>2501.4404432132965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6"/>
        <c:axId val="488914192"/>
        <c:axId val="488912232"/>
      </c:barChart>
      <c:lineChart>
        <c:grouping val="standard"/>
        <c:varyColors val="0"/>
        <c:ser>
          <c:idx val="2"/>
          <c:order val="2"/>
          <c:tx>
            <c:strRef>
              <c:f>дома!$I$23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prstDash val="dashDot"/>
            </a:ln>
          </c:spPr>
          <c:marker>
            <c:symbol val="circle"/>
            <c:size val="7"/>
            <c:spPr>
              <a:solidFill>
                <a:schemeClr val="accent3">
                  <a:lumMod val="60000"/>
                  <a:lumOff val="40000"/>
                </a:scheme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Старый Тобольский тракт</c:v>
                </c:pt>
                <c:pt idx="4">
                  <c:v>Ялуторовский тракт</c:v>
                </c:pt>
                <c:pt idx="5">
                  <c:v>Московский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дома!$I$24:$I$32</c:f>
              <c:numCache>
                <c:formatCode>0.0</c:formatCode>
                <c:ptCount val="9"/>
                <c:pt idx="0">
                  <c:v>-2.422823162839066</c:v>
                </c:pt>
                <c:pt idx="1">
                  <c:v>1.0309954672281094</c:v>
                </c:pt>
                <c:pt idx="2">
                  <c:v>-2.9104192487256739</c:v>
                </c:pt>
                <c:pt idx="3">
                  <c:v>-0.53500566893424661</c:v>
                </c:pt>
                <c:pt idx="4">
                  <c:v>-4.670915789107255E-2</c:v>
                </c:pt>
                <c:pt idx="5">
                  <c:v>-2.7582062979859785</c:v>
                </c:pt>
                <c:pt idx="6">
                  <c:v>-2.6793114281936852</c:v>
                </c:pt>
                <c:pt idx="7">
                  <c:v>-2.3887289458230754</c:v>
                </c:pt>
                <c:pt idx="8">
                  <c:v>-2.7811720476760087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918112"/>
        <c:axId val="488916544"/>
      </c:lineChart>
      <c:catAx>
        <c:axId val="488914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204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12232"/>
        <c:crosses val="autoZero"/>
        <c:auto val="1"/>
        <c:lblAlgn val="ctr"/>
        <c:lblOffset val="100"/>
        <c:noMultiLvlLbl val="0"/>
      </c:catAx>
      <c:valAx>
        <c:axId val="488912232"/>
        <c:scaling>
          <c:orientation val="minMax"/>
          <c:max val="53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r>
                  <a:rPr lang="ru-RU" sz="800">
                    <a:latin typeface="Arial" pitchFamily="34" charset="0"/>
                    <a:cs typeface="Arial" pitchFamily="34" charset="0"/>
                  </a:rPr>
                  <a:t>тыс.руб.</a:t>
                </a:r>
              </a:p>
            </c:rich>
          </c:tx>
          <c:layout>
            <c:manualLayout>
              <c:xMode val="edge"/>
              <c:yMode val="edge"/>
              <c:x val="4.7572178477690293E-4"/>
              <c:y val="6.601787171779130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14192"/>
        <c:crosses val="autoZero"/>
        <c:crossBetween val="between"/>
      </c:valAx>
      <c:valAx>
        <c:axId val="488916544"/>
        <c:scaling>
          <c:orientation val="minMax"/>
          <c:max val="15"/>
          <c:min val="-15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18112"/>
        <c:crosses val="max"/>
        <c:crossBetween val="between"/>
      </c:valAx>
      <c:catAx>
        <c:axId val="488918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8891654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24262592175977987"/>
          <c:y val="0.92710107830948774"/>
          <c:w val="0.60390240576710641"/>
          <c:h val="6.9967090027059434E-2"/>
        </c:manualLayout>
      </c:layout>
      <c:overlay val="0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дач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9015589106407568"/>
          <c:y val="1.65118732720228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810564941518233"/>
          <c:y val="0.36783614548181481"/>
          <c:w val="0.4221656787283613"/>
          <c:h val="0.5852452555580129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8411134388018014E-2"/>
                  <c:y val="8.99669567512446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6948541982710876E-2"/>
                  <c:y val="4.30157051317471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6187242649714653E-3"/>
                  <c:y val="2.99293954899185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9453509595704221"/>
                  <c:y val="-1.61618085571809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8212025331695925"/>
                  <c:y val="4.87922604819519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23668010306051188"/>
                  <c:y val="-6.89985028801517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842977196658046E-2"/>
                  <c:y val="-0.1052297133109751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7374653856341309E-2"/>
                  <c:y val="-8.013361615875321E-2"/>
                </c:manualLayout>
              </c:layout>
              <c:tx>
                <c:rich>
                  <a:bodyPr/>
                  <a:lstStyle/>
                  <a:p>
                    <a:fld id="{37C14064-5527-4D40-829C-E761D986FF0C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0,4%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дачи!$A$3:$A$11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дачи!$B$3:$B$11</c:f>
              <c:numCache>
                <c:formatCode>General</c:formatCode>
                <c:ptCount val="9"/>
                <c:pt idx="0">
                  <c:v>177</c:v>
                </c:pt>
                <c:pt idx="1">
                  <c:v>396</c:v>
                </c:pt>
                <c:pt idx="2">
                  <c:v>76</c:v>
                </c:pt>
                <c:pt idx="3">
                  <c:v>598</c:v>
                </c:pt>
                <c:pt idx="4">
                  <c:v>755</c:v>
                </c:pt>
                <c:pt idx="5">
                  <c:v>483</c:v>
                </c:pt>
                <c:pt idx="6">
                  <c:v>16</c:v>
                </c:pt>
                <c:pt idx="7">
                  <c:v>180</c:v>
                </c:pt>
                <c:pt idx="8">
                  <c:v>11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средней цены дач в разрезе по трактам, тыс.руб.</a:t>
            </a:r>
          </a:p>
        </c:rich>
      </c:tx>
      <c:layout>
        <c:manualLayout>
          <c:xMode val="edge"/>
          <c:yMode val="edge"/>
          <c:x val="0.22091316710411199"/>
          <c:y val="1.6871682706328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918572678415196E-2"/>
          <c:y val="0.10789743192481922"/>
          <c:w val="0.86893435195600555"/>
          <c:h val="0.579327500729075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дачи!$G$24</c:f>
              <c:strCache>
                <c:ptCount val="1"/>
                <c:pt idx="0">
                  <c:v>2 кв.2015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206349206350242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841269841270027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дачи!$A$26:$A$32</c:f>
              <c:strCache>
                <c:ptCount val="7"/>
                <c:pt idx="0">
                  <c:v>Ялуторовский тракт</c:v>
                </c:pt>
                <c:pt idx="1">
                  <c:v>черта г.Тюмень</c:v>
                </c:pt>
                <c:pt idx="2">
                  <c:v>Салаирский тракт</c:v>
                </c:pt>
                <c:pt idx="3">
                  <c:v>Тобольский тракт</c:v>
                </c:pt>
                <c:pt idx="4">
                  <c:v>Червишевский тракт</c:v>
                </c:pt>
                <c:pt idx="5">
                  <c:v>Московский тракт</c:v>
                </c:pt>
                <c:pt idx="6">
                  <c:v>Велижанский тракт</c:v>
                </c:pt>
              </c:strCache>
            </c:strRef>
          </c:cat>
          <c:val>
            <c:numRef>
              <c:f>дачи!$G$26:$G$32</c:f>
              <c:numCache>
                <c:formatCode>General</c:formatCode>
                <c:ptCount val="7"/>
                <c:pt idx="0">
                  <c:v>1554</c:v>
                </c:pt>
                <c:pt idx="1">
                  <c:v>1549</c:v>
                </c:pt>
                <c:pt idx="2">
                  <c:v>1359</c:v>
                </c:pt>
                <c:pt idx="3">
                  <c:v>1147</c:v>
                </c:pt>
                <c:pt idx="4">
                  <c:v>1294</c:v>
                </c:pt>
                <c:pt idx="5">
                  <c:v>1235</c:v>
                </c:pt>
                <c:pt idx="6">
                  <c:v>1026</c:v>
                </c:pt>
              </c:numCache>
            </c:numRef>
          </c:val>
        </c:ser>
        <c:ser>
          <c:idx val="1"/>
          <c:order val="1"/>
          <c:tx>
            <c:strRef>
              <c:f>дачи!$H$24</c:f>
              <c:strCache>
                <c:ptCount val="1"/>
                <c:pt idx="0">
                  <c:v>3 кв.2015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571428571428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841269841270027E-3"/>
                  <c:y val="-1.6181225650122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523809523809521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857142857142856E-2"/>
                  <c:y val="9.7084805676221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9047619047619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92063492063502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7857142857142856E-2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9206349206350242E-3"/>
                  <c:y val="-2.96652376632015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дачи!$A$26:$A$32</c:f>
              <c:strCache>
                <c:ptCount val="7"/>
                <c:pt idx="0">
                  <c:v>Ялуторовский тракт</c:v>
                </c:pt>
                <c:pt idx="1">
                  <c:v>черта г.Тюмень</c:v>
                </c:pt>
                <c:pt idx="2">
                  <c:v>Салаирский тракт</c:v>
                </c:pt>
                <c:pt idx="3">
                  <c:v>Тобольский тракт</c:v>
                </c:pt>
                <c:pt idx="4">
                  <c:v>Червишевский тракт</c:v>
                </c:pt>
                <c:pt idx="5">
                  <c:v>Московский тракт</c:v>
                </c:pt>
                <c:pt idx="6">
                  <c:v>Велижанский тракт</c:v>
                </c:pt>
              </c:strCache>
            </c:strRef>
          </c:cat>
          <c:val>
            <c:numRef>
              <c:f>дачи!$H$26:$H$32</c:f>
              <c:numCache>
                <c:formatCode>0</c:formatCode>
                <c:ptCount val="7"/>
                <c:pt idx="0">
                  <c:v>1510.5941422594142</c:v>
                </c:pt>
                <c:pt idx="1">
                  <c:v>1501.3714285714286</c:v>
                </c:pt>
                <c:pt idx="2">
                  <c:v>1356.5381526104418</c:v>
                </c:pt>
                <c:pt idx="3">
                  <c:v>1140.2471910112361</c:v>
                </c:pt>
                <c:pt idx="4">
                  <c:v>1339.6621621621621</c:v>
                </c:pt>
                <c:pt idx="5">
                  <c:v>1208.9258312020461</c:v>
                </c:pt>
                <c:pt idx="6">
                  <c:v>1020.1537162162163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6"/>
        <c:axId val="488917328"/>
        <c:axId val="488920072"/>
      </c:barChart>
      <c:lineChart>
        <c:grouping val="standard"/>
        <c:varyColors val="0"/>
        <c:ser>
          <c:idx val="2"/>
          <c:order val="2"/>
          <c:tx>
            <c:strRef>
              <c:f>дачи!$I$24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prstDash val="dashDot"/>
            </a:ln>
          </c:spPr>
          <c:marker>
            <c:symbol val="circle"/>
            <c:size val="7"/>
            <c:spPr>
              <a:solidFill>
                <a:schemeClr val="accent3">
                  <a:lumMod val="60000"/>
                  <a:lumOff val="40000"/>
                </a:schemeClr>
              </a:solidFill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Старый Тобольский тракт</c:v>
                </c:pt>
                <c:pt idx="4">
                  <c:v>Ялуторовский тракт</c:v>
                </c:pt>
                <c:pt idx="5">
                  <c:v>Московский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дачи!$I$26:$I$32</c:f>
              <c:numCache>
                <c:formatCode>0.0</c:formatCode>
                <c:ptCount val="7"/>
                <c:pt idx="0">
                  <c:v>-2.7931697387764416</c:v>
                </c:pt>
                <c:pt idx="1">
                  <c:v>-3.0747947984875026</c:v>
                </c:pt>
                <c:pt idx="2">
                  <c:v>-0.18115138996013513</c:v>
                </c:pt>
                <c:pt idx="3">
                  <c:v>-0.58873661628281582</c:v>
                </c:pt>
                <c:pt idx="4">
                  <c:v>3.5287605998579608</c:v>
                </c:pt>
                <c:pt idx="5">
                  <c:v>-2.1112687285792617</c:v>
                </c:pt>
                <c:pt idx="6">
                  <c:v>-0.56981323428692576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920464"/>
        <c:axId val="488918504"/>
      </c:lineChart>
      <c:catAx>
        <c:axId val="488917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204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20072"/>
        <c:crosses val="autoZero"/>
        <c:auto val="1"/>
        <c:lblAlgn val="ctr"/>
        <c:lblOffset val="100"/>
        <c:noMultiLvlLbl val="0"/>
      </c:catAx>
      <c:valAx>
        <c:axId val="488920072"/>
        <c:scaling>
          <c:orientation val="minMax"/>
          <c:max val="25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4.7572178477690261E-4"/>
              <c:y val="3.131816856226304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17328"/>
        <c:crosses val="autoZero"/>
        <c:crossBetween val="between"/>
      </c:valAx>
      <c:valAx>
        <c:axId val="488918504"/>
        <c:scaling>
          <c:orientation val="minMax"/>
          <c:max val="50"/>
          <c:min val="-3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88920464"/>
        <c:crosses val="max"/>
        <c:crossBetween val="between"/>
      </c:valAx>
      <c:catAx>
        <c:axId val="488920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8891850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24262592175977987"/>
          <c:y val="0.90664129483814881"/>
          <c:w val="0.59261920384951872"/>
          <c:h val="8.5848935549723046E-2"/>
        </c:manualLayout>
      </c:layout>
      <c:overlay val="0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EED75-BF48-45B4-A988-52EB6D5B4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moiseeva</dc:creator>
  <cp:keywords/>
  <dc:description/>
  <cp:lastModifiedBy>localadmin</cp:lastModifiedBy>
  <cp:revision>18</cp:revision>
  <cp:lastPrinted>2014-10-15T03:54:00Z</cp:lastPrinted>
  <dcterms:created xsi:type="dcterms:W3CDTF">2015-07-24T11:49:00Z</dcterms:created>
  <dcterms:modified xsi:type="dcterms:W3CDTF">2015-10-21T11:17:00Z</dcterms:modified>
</cp:coreProperties>
</file>