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E35" w:rsidRPr="00CC30B9" w:rsidRDefault="008B6E35" w:rsidP="003C7084">
      <w:pPr>
        <w:rPr>
          <w:rFonts w:cs="Arial"/>
          <w:b/>
          <w:color w:val="365F91" w:themeColor="accent1" w:themeShade="BF"/>
        </w:rPr>
      </w:pPr>
    </w:p>
    <w:p w:rsidR="003C7084" w:rsidRPr="001F7804" w:rsidRDefault="001F7804" w:rsidP="003C7084">
      <w:pPr>
        <w:rPr>
          <w:rFonts w:cs="Arial"/>
          <w:b/>
          <w:color w:val="365F91" w:themeColor="accent1" w:themeShade="BF"/>
          <w:sz w:val="28"/>
          <w:szCs w:val="28"/>
        </w:rPr>
      </w:pPr>
      <w:r w:rsidRPr="001F7804">
        <w:rPr>
          <w:rFonts w:cs="Arial"/>
          <w:b/>
          <w:color w:val="365F91" w:themeColor="accent1" w:themeShade="BF"/>
          <w:sz w:val="28"/>
          <w:szCs w:val="28"/>
        </w:rPr>
        <w:t>2</w:t>
      </w:r>
      <w:r w:rsidR="002739EC" w:rsidRPr="001F7804">
        <w:rPr>
          <w:rFonts w:cs="Arial"/>
          <w:b/>
          <w:color w:val="365F91" w:themeColor="accent1" w:themeShade="BF"/>
          <w:sz w:val="28"/>
          <w:szCs w:val="28"/>
        </w:rPr>
        <w:t xml:space="preserve"> квартал</w:t>
      </w:r>
      <w:r w:rsidR="003C7084" w:rsidRPr="001F7804">
        <w:rPr>
          <w:rFonts w:cs="Arial"/>
          <w:b/>
          <w:color w:val="365F91" w:themeColor="accent1" w:themeShade="BF"/>
          <w:sz w:val="28"/>
          <w:szCs w:val="28"/>
        </w:rPr>
        <w:t xml:space="preserve"> 201</w:t>
      </w:r>
      <w:r w:rsidR="00A15F13" w:rsidRPr="001F7804">
        <w:rPr>
          <w:rFonts w:cs="Arial"/>
          <w:b/>
          <w:color w:val="365F91" w:themeColor="accent1" w:themeShade="BF"/>
          <w:sz w:val="28"/>
          <w:szCs w:val="28"/>
        </w:rPr>
        <w:t>6</w:t>
      </w:r>
      <w:r w:rsidR="003C7084" w:rsidRPr="001F7804">
        <w:rPr>
          <w:rFonts w:cs="Arial"/>
          <w:b/>
          <w:color w:val="365F91" w:themeColor="accent1" w:themeShade="BF"/>
          <w:sz w:val="28"/>
          <w:szCs w:val="28"/>
        </w:rPr>
        <w:t xml:space="preserve"> года</w:t>
      </w:r>
    </w:p>
    <w:p w:rsidR="003C7084" w:rsidRPr="001F7804" w:rsidRDefault="003C7084" w:rsidP="003C7084">
      <w:pPr>
        <w:rPr>
          <w:rFonts w:cs="Arial"/>
          <w:b/>
          <w:color w:val="244061" w:themeColor="accent1" w:themeShade="80"/>
          <w:sz w:val="28"/>
          <w:szCs w:val="28"/>
        </w:rPr>
      </w:pPr>
      <w:r w:rsidRPr="001F7804">
        <w:rPr>
          <w:rFonts w:cs="Arial"/>
          <w:b/>
          <w:color w:val="244061" w:themeColor="accent1" w:themeShade="80"/>
          <w:sz w:val="28"/>
          <w:szCs w:val="28"/>
        </w:rPr>
        <w:t>ОБЗОР РЫНКА ЗАГОРОДНОЙ НЕДВИЖИМОСТИ</w:t>
      </w:r>
    </w:p>
    <w:p w:rsidR="003C7084" w:rsidRPr="001F7804" w:rsidRDefault="003C7084" w:rsidP="003C7084">
      <w:pPr>
        <w:rPr>
          <w:rFonts w:cs="Arial"/>
          <w:color w:val="365F91" w:themeColor="accent1" w:themeShade="BF"/>
          <w:sz w:val="28"/>
          <w:szCs w:val="28"/>
          <w:highlight w:val="yellow"/>
        </w:rPr>
      </w:pPr>
      <w:r w:rsidRPr="001F7804">
        <w:rPr>
          <w:rFonts w:cs="Arial"/>
          <w:color w:val="365F91" w:themeColor="accent1" w:themeShade="BF"/>
          <w:sz w:val="28"/>
          <w:szCs w:val="28"/>
        </w:rPr>
        <w:t>Тюмень</w:t>
      </w:r>
      <w:r w:rsidRPr="001F7804">
        <w:rPr>
          <w:rStyle w:val="a5"/>
          <w:rFonts w:cs="Arial"/>
          <w:color w:val="365F91" w:themeColor="accent1" w:themeShade="BF"/>
          <w:sz w:val="28"/>
          <w:szCs w:val="28"/>
        </w:rPr>
        <w:footnoteReference w:id="1"/>
      </w:r>
    </w:p>
    <w:p w:rsidR="00DA526E" w:rsidRPr="001F7804" w:rsidRDefault="00E87918" w:rsidP="00E87918">
      <w:pPr>
        <w:ind w:left="-1701"/>
        <w:rPr>
          <w:rFonts w:cs="Arial"/>
          <w:color w:val="365F91" w:themeColor="accent1" w:themeShade="BF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7548519" cy="5029200"/>
            <wp:effectExtent l="0" t="0" r="0" b="0"/>
            <wp:docPr id="9" name="Рисунок 9" descr="http://dfrealty.ru/specfot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frealty.ru/specfoto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74" cy="50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E9" w:rsidRPr="001F7804" w:rsidRDefault="00056CE9" w:rsidP="003C7084">
      <w:pPr>
        <w:ind w:left="-1701"/>
        <w:rPr>
          <w:highlight w:val="yellow"/>
        </w:rPr>
      </w:pPr>
    </w:p>
    <w:p w:rsidR="00E56CC9" w:rsidRPr="005B353A" w:rsidRDefault="005B353A" w:rsidP="002B2B52">
      <w:pPr>
        <w:pStyle w:val="af"/>
        <w:numPr>
          <w:ilvl w:val="0"/>
          <w:numId w:val="1"/>
        </w:numPr>
        <w:jc w:val="both"/>
        <w:rPr>
          <w:rFonts w:cs="Arial"/>
        </w:rPr>
      </w:pPr>
      <w:r w:rsidRPr="005B353A">
        <w:rPr>
          <w:rFonts w:cs="Arial"/>
        </w:rPr>
        <w:t>В отличие от 1 квартала 2016 года, наибольший спрос в равной степени распределился между дачами и земельными участками.</w:t>
      </w:r>
    </w:p>
    <w:p w:rsidR="00A104C9" w:rsidRDefault="005B353A" w:rsidP="002B2B52">
      <w:pPr>
        <w:pStyle w:val="af"/>
        <w:numPr>
          <w:ilvl w:val="0"/>
          <w:numId w:val="1"/>
        </w:numPr>
        <w:jc w:val="both"/>
        <w:rPr>
          <w:rFonts w:cs="Arial"/>
        </w:rPr>
      </w:pPr>
      <w:r w:rsidRPr="005B353A">
        <w:rPr>
          <w:rFonts w:cs="Arial"/>
        </w:rPr>
        <w:t>К популярным направлениям для покупки загородной недвижимости во 2 квартале 2016г также можно отнести и черту города (185 в общем объеме продаж)</w:t>
      </w:r>
      <w:r w:rsidR="00E83C2B">
        <w:rPr>
          <w:rFonts w:cs="Arial"/>
        </w:rPr>
        <w:t>, в лидерах остаются Московский и Салаирский тракты.</w:t>
      </w:r>
    </w:p>
    <w:p w:rsidR="005B353A" w:rsidRPr="005B353A" w:rsidRDefault="005B353A" w:rsidP="002B2B52">
      <w:pPr>
        <w:pStyle w:val="af"/>
        <w:numPr>
          <w:ilvl w:val="0"/>
          <w:numId w:val="1"/>
        </w:numPr>
        <w:jc w:val="both"/>
        <w:rPr>
          <w:rFonts w:cs="Arial"/>
        </w:rPr>
      </w:pPr>
      <w:r>
        <w:rPr>
          <w:rFonts w:cs="Arial"/>
        </w:rPr>
        <w:t xml:space="preserve">Средняя полная цена продажи дач составила </w:t>
      </w:r>
      <w:r w:rsidR="0057159E">
        <w:rPr>
          <w:rFonts w:cs="Arial"/>
        </w:rPr>
        <w:t>1094 тыс.руб., земельных участков – 956 тыс.руб.</w:t>
      </w:r>
    </w:p>
    <w:p w:rsidR="004A5BBF" w:rsidRPr="00E83C2B" w:rsidRDefault="0057159E" w:rsidP="00E83C2B">
      <w:pPr>
        <w:pStyle w:val="af"/>
        <w:numPr>
          <w:ilvl w:val="0"/>
          <w:numId w:val="1"/>
        </w:numPr>
        <w:jc w:val="both"/>
        <w:rPr>
          <w:rFonts w:cs="Arial"/>
        </w:rPr>
      </w:pPr>
      <w:r w:rsidRPr="0057159E">
        <w:rPr>
          <w:rFonts w:cs="Arial"/>
        </w:rPr>
        <w:t>Средний торг по объектам во 2 квартале составил 5,8%</w:t>
      </w:r>
      <w:r w:rsidR="00056CE9" w:rsidRPr="00E83C2B">
        <w:rPr>
          <w:highlight w:val="yellow"/>
        </w:rPr>
        <w:br w:type="page"/>
      </w:r>
    </w:p>
    <w:p w:rsidR="00056CE9" w:rsidRPr="001F7804" w:rsidRDefault="001F7804" w:rsidP="00056CE9">
      <w:pPr>
        <w:spacing w:after="0" w:line="240" w:lineRule="auto"/>
        <w:ind w:left="-284"/>
        <w:rPr>
          <w:rFonts w:cs="Arial"/>
          <w:b/>
        </w:rPr>
      </w:pPr>
      <w:r w:rsidRPr="001F7804">
        <w:rPr>
          <w:rFonts w:cs="Arial"/>
          <w:b/>
        </w:rPr>
        <w:lastRenderedPageBreak/>
        <w:t>2</w:t>
      </w:r>
      <w:r w:rsidR="00056CE9" w:rsidRPr="001F7804">
        <w:rPr>
          <w:rFonts w:cs="Arial"/>
          <w:b/>
        </w:rPr>
        <w:t xml:space="preserve"> квартал 201</w:t>
      </w:r>
      <w:r w:rsidR="00052D6E" w:rsidRPr="001F7804">
        <w:rPr>
          <w:rFonts w:cs="Arial"/>
          <w:b/>
        </w:rPr>
        <w:t>6</w:t>
      </w:r>
      <w:r w:rsidR="00056CE9" w:rsidRPr="001F7804">
        <w:rPr>
          <w:rFonts w:cs="Arial"/>
          <w:b/>
        </w:rPr>
        <w:t xml:space="preserve"> года</w:t>
      </w:r>
    </w:p>
    <w:p w:rsidR="00056CE9" w:rsidRPr="001F7804" w:rsidRDefault="00056CE9" w:rsidP="00056CE9">
      <w:pPr>
        <w:spacing w:after="0" w:line="240" w:lineRule="auto"/>
        <w:ind w:left="-284"/>
        <w:rPr>
          <w:rFonts w:cs="Arial"/>
          <w:b/>
        </w:rPr>
      </w:pPr>
      <w:r w:rsidRPr="001F7804">
        <w:rPr>
          <w:rFonts w:cs="Arial"/>
          <w:b/>
        </w:rPr>
        <w:t>ОБЗОР РЫНКА ЗАГОРОДНОЙ НЕДВИЖИМОСТИ</w:t>
      </w:r>
    </w:p>
    <w:p w:rsidR="00056CE9" w:rsidRPr="001F7804" w:rsidRDefault="00056CE9" w:rsidP="00056CE9">
      <w:pPr>
        <w:spacing w:after="0" w:line="240" w:lineRule="auto"/>
        <w:ind w:left="-284"/>
        <w:rPr>
          <w:rFonts w:cs="Arial"/>
          <w:b/>
          <w:highlight w:val="yellow"/>
        </w:rPr>
      </w:pPr>
      <w:r w:rsidRPr="001F7804">
        <w:rPr>
          <w:rFonts w:cs="Arial"/>
          <w:b/>
        </w:rPr>
        <w:t>Тюмень</w:t>
      </w:r>
    </w:p>
    <w:p w:rsidR="00056CE9" w:rsidRPr="001F7804" w:rsidRDefault="00056CE9" w:rsidP="00056CE9">
      <w:pPr>
        <w:spacing w:after="0" w:line="240" w:lineRule="auto"/>
        <w:ind w:left="-284"/>
        <w:rPr>
          <w:rFonts w:cs="Arial"/>
          <w:b/>
          <w:highlight w:val="yellow"/>
        </w:rPr>
      </w:pPr>
    </w:p>
    <w:p w:rsidR="00056CE9" w:rsidRPr="001F7804" w:rsidRDefault="004A5BBF" w:rsidP="004A5BBF">
      <w:pPr>
        <w:pStyle w:val="1"/>
        <w:ind w:left="-284"/>
        <w:rPr>
          <w:rFonts w:asciiTheme="minorHAnsi" w:hAnsiTheme="minorHAnsi" w:cs="Arial"/>
          <w:color w:val="auto"/>
          <w:sz w:val="22"/>
          <w:szCs w:val="22"/>
        </w:rPr>
      </w:pPr>
      <w:bookmarkStart w:id="0" w:name="_Toc400983659"/>
      <w:bookmarkStart w:id="1" w:name="_Toc401047136"/>
      <w:r w:rsidRPr="001F7804">
        <w:rPr>
          <w:rFonts w:asciiTheme="minorHAnsi" w:hAnsiTheme="minorHAnsi" w:cs="Arial"/>
          <w:color w:val="auto"/>
          <w:sz w:val="22"/>
          <w:szCs w:val="22"/>
        </w:rPr>
        <w:t xml:space="preserve">1. </w:t>
      </w:r>
      <w:r w:rsidR="00056CE9" w:rsidRPr="001F7804">
        <w:rPr>
          <w:rFonts w:asciiTheme="minorHAnsi" w:hAnsiTheme="minorHAnsi" w:cs="Arial"/>
          <w:color w:val="auto"/>
          <w:sz w:val="22"/>
          <w:szCs w:val="22"/>
        </w:rPr>
        <w:t>ОБЩАЯ СИТУАЦИЯ</w:t>
      </w:r>
      <w:bookmarkEnd w:id="0"/>
      <w:bookmarkEnd w:id="1"/>
    </w:p>
    <w:p w:rsidR="004A5BBF" w:rsidRPr="001F7804" w:rsidRDefault="004A5BBF" w:rsidP="006D0AB8">
      <w:pPr>
        <w:ind w:left="-284"/>
        <w:rPr>
          <w:rFonts w:cs="Arial"/>
          <w:b/>
        </w:rPr>
      </w:pPr>
    </w:p>
    <w:p w:rsidR="00050841" w:rsidRPr="001F7804" w:rsidRDefault="00B15C97" w:rsidP="006D0AB8">
      <w:pPr>
        <w:ind w:left="-284"/>
        <w:rPr>
          <w:rFonts w:cs="Arial"/>
          <w:b/>
        </w:rPr>
      </w:pPr>
      <w:r w:rsidRPr="001F7804">
        <w:rPr>
          <w:rFonts w:cs="Arial"/>
          <w:b/>
        </w:rPr>
        <w:t>Объем и структура предложения</w:t>
      </w:r>
    </w:p>
    <w:p w:rsidR="00E91FCA" w:rsidRPr="00527F05" w:rsidRDefault="00003B13" w:rsidP="00527F05">
      <w:pPr>
        <w:spacing w:after="0"/>
        <w:ind w:left="-284"/>
        <w:jc w:val="both"/>
        <w:rPr>
          <w:rFonts w:cs="Arial"/>
        </w:rPr>
      </w:pPr>
      <w:r w:rsidRPr="00003B13">
        <w:rPr>
          <w:rFonts w:cs="Arial"/>
        </w:rPr>
        <w:t>Во 2 квартале 2016 года прирост объема предложения составил порядка 2,5% (около 400 объектов), относительно аналогичного период</w:t>
      </w:r>
      <w:r w:rsidR="00CA1DF3">
        <w:rPr>
          <w:rFonts w:cs="Arial"/>
        </w:rPr>
        <w:t>а</w:t>
      </w:r>
      <w:r w:rsidRPr="00003B13">
        <w:rPr>
          <w:rFonts w:cs="Arial"/>
        </w:rPr>
        <w:t xml:space="preserve"> предыдущего года - ↑11,7%.</w:t>
      </w:r>
      <w:r>
        <w:rPr>
          <w:rFonts w:cs="Arial"/>
        </w:rPr>
        <w:t xml:space="preserve"> Основной прирост базы приходится на земельные участки – более 350 объектов, в основном в черте города и направлении Ирбитского тракта.</w:t>
      </w:r>
    </w:p>
    <w:p w:rsidR="00B15C97" w:rsidRPr="001F7804" w:rsidRDefault="00E91FCA" w:rsidP="004155FD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B43EEA9" wp14:editId="189ECDA5">
            <wp:extent cx="5038090" cy="27622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15C97" w:rsidRDefault="00C043D2" w:rsidP="008734E3">
      <w:pPr>
        <w:spacing w:after="0"/>
        <w:ind w:left="-284"/>
        <w:jc w:val="both"/>
      </w:pPr>
      <w:r w:rsidRPr="00C043D2">
        <w:t xml:space="preserve">За счет выставленных земельных участков на продажу, их доля в общем объеме предложения </w:t>
      </w:r>
      <w:r>
        <w:t>увеличилась до 51%.</w:t>
      </w:r>
    </w:p>
    <w:p w:rsidR="00C043D2" w:rsidRPr="00C043D2" w:rsidRDefault="00C043D2" w:rsidP="008734E3">
      <w:pPr>
        <w:spacing w:after="0"/>
        <w:ind w:left="-284"/>
        <w:jc w:val="both"/>
      </w:pPr>
      <w:r>
        <w:t>По сравнению с 1 кварталом 2016 года, уменьшилась доля домов до 23%, по остальным типам квартальный прирост не составил более 1,5% (40 объектов).</w:t>
      </w:r>
    </w:p>
    <w:p w:rsidR="0038530C" w:rsidRPr="001F7804" w:rsidRDefault="00C043D2" w:rsidP="0038530C">
      <w:pPr>
        <w:spacing w:after="0"/>
        <w:ind w:left="-284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3187572" wp14:editId="59F99A2D">
            <wp:extent cx="3943349" cy="2762250"/>
            <wp:effectExtent l="0" t="0" r="63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A526E" w:rsidRPr="001F7804" w:rsidRDefault="00C45CAD" w:rsidP="00A85DB2">
      <w:pPr>
        <w:ind w:left="-284"/>
        <w:rPr>
          <w:rFonts w:cs="Arial"/>
          <w:b/>
        </w:rPr>
      </w:pPr>
      <w:r w:rsidRPr="001F7804">
        <w:rPr>
          <w:highlight w:val="yellow"/>
        </w:rPr>
        <w:br w:type="page"/>
      </w:r>
      <w:bookmarkStart w:id="2" w:name="_Toc400983660"/>
      <w:bookmarkStart w:id="3" w:name="_Toc401047137"/>
      <w:r w:rsidR="004A5BBF" w:rsidRPr="001F7804">
        <w:rPr>
          <w:rFonts w:cs="Arial"/>
          <w:b/>
        </w:rPr>
        <w:lastRenderedPageBreak/>
        <w:t xml:space="preserve">2. </w:t>
      </w:r>
      <w:r w:rsidR="00771654" w:rsidRPr="001F7804">
        <w:rPr>
          <w:rFonts w:cs="Arial"/>
          <w:b/>
        </w:rPr>
        <w:t>ЗЕМЕЛЬНЫЕ УЧАСТКИ</w:t>
      </w:r>
      <w:bookmarkEnd w:id="2"/>
      <w:bookmarkEnd w:id="3"/>
    </w:p>
    <w:p w:rsidR="00771654" w:rsidRPr="001F7804" w:rsidRDefault="00771654" w:rsidP="00771654">
      <w:pPr>
        <w:ind w:left="-284"/>
        <w:rPr>
          <w:rFonts w:cs="Arial"/>
          <w:b/>
        </w:rPr>
      </w:pPr>
      <w:r w:rsidRPr="001F7804">
        <w:rPr>
          <w:rFonts w:cs="Arial"/>
          <w:b/>
        </w:rPr>
        <w:t>Объем предложения</w:t>
      </w:r>
    </w:p>
    <w:p w:rsidR="00EF5002" w:rsidRDefault="00B57A2E" w:rsidP="00BA65A6">
      <w:pPr>
        <w:ind w:left="-284"/>
        <w:contextualSpacing/>
        <w:jc w:val="both"/>
        <w:rPr>
          <w:rFonts w:cs="Arial"/>
        </w:rPr>
      </w:pPr>
      <w:r w:rsidRPr="000E4340">
        <w:rPr>
          <w:rFonts w:cs="Arial"/>
        </w:rPr>
        <w:t xml:space="preserve">В лидерах по объему предложения земельных участков неизменно остаются направления Салаирского, Московского и Велижанского трактов. </w:t>
      </w:r>
    </w:p>
    <w:p w:rsidR="000E4340" w:rsidRPr="000E4340" w:rsidRDefault="00B57A2E" w:rsidP="00BA65A6">
      <w:pPr>
        <w:ind w:left="-284"/>
        <w:jc w:val="both"/>
        <w:rPr>
          <w:rFonts w:cs="Arial"/>
        </w:rPr>
      </w:pPr>
      <w:r w:rsidRPr="000E4340">
        <w:rPr>
          <w:rFonts w:cs="Arial"/>
        </w:rPr>
        <w:t xml:space="preserve">Во 2 квартале с приростом в более чем </w:t>
      </w:r>
      <w:r w:rsidR="000E4340">
        <w:rPr>
          <w:rFonts w:cs="Arial"/>
        </w:rPr>
        <w:t>500</w:t>
      </w:r>
      <w:r w:rsidRPr="000E4340">
        <w:rPr>
          <w:rFonts w:cs="Arial"/>
        </w:rPr>
        <w:t xml:space="preserve"> объе</w:t>
      </w:r>
      <w:r w:rsidR="000E4340" w:rsidRPr="000E4340">
        <w:rPr>
          <w:rFonts w:cs="Arial"/>
        </w:rPr>
        <w:t>к</w:t>
      </w:r>
      <w:r w:rsidRPr="000E4340">
        <w:rPr>
          <w:rFonts w:cs="Arial"/>
        </w:rPr>
        <w:t xml:space="preserve">тов, </w:t>
      </w:r>
      <w:r w:rsidR="000E4340">
        <w:rPr>
          <w:rFonts w:cs="Arial"/>
        </w:rPr>
        <w:t xml:space="preserve">общий объем предложения участков в черте города превысил отметку в 1000 объектов (13%). Отмечен прирост </w:t>
      </w:r>
      <w:r w:rsidR="00611E9E">
        <w:rPr>
          <w:rFonts w:cs="Arial"/>
        </w:rPr>
        <w:t>объектов на продаже и по Ирбитскому тракту</w:t>
      </w:r>
      <w:r w:rsidR="00BA65A6">
        <w:rPr>
          <w:rFonts w:cs="Arial"/>
        </w:rPr>
        <w:t xml:space="preserve"> (↑1,73%, более 180 объектов).</w:t>
      </w:r>
    </w:p>
    <w:p w:rsidR="00AD3C99" w:rsidRPr="001F7804" w:rsidRDefault="00DD7AB8" w:rsidP="00B66919">
      <w:pPr>
        <w:ind w:left="-284"/>
        <w:jc w:val="center"/>
        <w:rPr>
          <w:rFonts w:cs="Arial"/>
          <w:highlight w:val="yellow"/>
        </w:rPr>
      </w:pPr>
      <w:r>
        <w:rPr>
          <w:noProof/>
        </w:rPr>
        <w:drawing>
          <wp:inline distT="0" distB="0" distL="0" distR="0" wp14:anchorId="1F2F044D" wp14:editId="39D29AB5">
            <wp:extent cx="5191125" cy="32575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55FD" w:rsidRPr="001F7804" w:rsidRDefault="004155FD" w:rsidP="00F95168">
      <w:pPr>
        <w:rPr>
          <w:rFonts w:cs="Arial"/>
          <w:b/>
          <w:highlight w:val="yellow"/>
        </w:rPr>
      </w:pPr>
    </w:p>
    <w:p w:rsidR="00AA125E" w:rsidRPr="005A160B" w:rsidRDefault="00AA125E" w:rsidP="004155FD">
      <w:pPr>
        <w:ind w:hanging="284"/>
        <w:rPr>
          <w:rFonts w:cs="Arial"/>
          <w:b/>
        </w:rPr>
      </w:pPr>
      <w:r w:rsidRPr="005A160B">
        <w:rPr>
          <w:rFonts w:cs="Arial"/>
          <w:b/>
        </w:rPr>
        <w:t>Ценовая ситуация</w:t>
      </w:r>
    </w:p>
    <w:p w:rsidR="00491938" w:rsidRPr="005629D5" w:rsidRDefault="005629D5" w:rsidP="0061232A">
      <w:pPr>
        <w:ind w:left="-284"/>
        <w:jc w:val="both"/>
        <w:rPr>
          <w:rFonts w:cs="Arial"/>
        </w:rPr>
      </w:pPr>
      <w:r w:rsidRPr="005629D5">
        <w:rPr>
          <w:rFonts w:cs="Arial"/>
        </w:rPr>
        <w:t>На 3,1% во 2 квартале 2016 года снизилась удельная цена предложения земельных участков</w:t>
      </w:r>
      <w:r w:rsidR="00611E9E">
        <w:rPr>
          <w:rFonts w:cs="Arial"/>
        </w:rPr>
        <w:t xml:space="preserve">, </w:t>
      </w:r>
      <w:r w:rsidR="001C3EA4">
        <w:rPr>
          <w:rFonts w:cs="Arial"/>
        </w:rPr>
        <w:t>наибольшее влияние оказал</w:t>
      </w:r>
      <w:r w:rsidR="00611E9E">
        <w:rPr>
          <w:rFonts w:cs="Arial"/>
        </w:rPr>
        <w:t xml:space="preserve"> прирост базы объектов (↑</w:t>
      </w:r>
      <w:r w:rsidR="001C3EA4">
        <w:rPr>
          <w:rFonts w:cs="Arial"/>
        </w:rPr>
        <w:t>4,4%), без учета новых объектов процент снижения не превышает 1% в рамках погрешности.</w:t>
      </w:r>
    </w:p>
    <w:p w:rsidR="00AF109A" w:rsidRPr="001F7804" w:rsidRDefault="00DD7AB8" w:rsidP="002324EC">
      <w:pPr>
        <w:ind w:left="-284"/>
        <w:jc w:val="center"/>
        <w:rPr>
          <w:rFonts w:cs="Arial"/>
          <w:highlight w:val="yellow"/>
        </w:rPr>
      </w:pPr>
      <w:r>
        <w:rPr>
          <w:noProof/>
        </w:rPr>
        <w:drawing>
          <wp:inline distT="0" distB="0" distL="0" distR="0" wp14:anchorId="308D3AFA" wp14:editId="1DAB5770">
            <wp:extent cx="4591050" cy="23241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A526E" w:rsidRPr="001F7804" w:rsidRDefault="00DA526E" w:rsidP="002324EC">
      <w:pPr>
        <w:ind w:left="-284"/>
        <w:jc w:val="center"/>
        <w:rPr>
          <w:rFonts w:cs="Arial"/>
          <w:highlight w:val="yellow"/>
        </w:rPr>
      </w:pPr>
    </w:p>
    <w:p w:rsidR="00607478" w:rsidRPr="001F7804" w:rsidRDefault="00607478" w:rsidP="00607478">
      <w:pPr>
        <w:pStyle w:val="1"/>
        <w:ind w:left="-284"/>
        <w:rPr>
          <w:rFonts w:asciiTheme="minorHAnsi" w:hAnsiTheme="minorHAnsi" w:cs="Arial"/>
          <w:color w:val="auto"/>
          <w:sz w:val="22"/>
          <w:szCs w:val="22"/>
        </w:rPr>
      </w:pPr>
      <w:bookmarkStart w:id="4" w:name="_Toc401047139"/>
      <w:bookmarkStart w:id="5" w:name="_Toc401047138"/>
      <w:r w:rsidRPr="001F7804">
        <w:rPr>
          <w:rFonts w:asciiTheme="minorHAnsi" w:hAnsiTheme="minorHAnsi" w:cs="Arial"/>
          <w:color w:val="auto"/>
          <w:sz w:val="22"/>
          <w:szCs w:val="22"/>
        </w:rPr>
        <w:lastRenderedPageBreak/>
        <w:t>3. ДОМА</w:t>
      </w:r>
      <w:bookmarkEnd w:id="4"/>
    </w:p>
    <w:p w:rsidR="000F6BB2" w:rsidRPr="001F7804" w:rsidRDefault="000F6BB2" w:rsidP="000F6BB2"/>
    <w:p w:rsidR="00607478" w:rsidRPr="001F7804" w:rsidRDefault="00607478" w:rsidP="00607478">
      <w:pPr>
        <w:ind w:left="-284"/>
        <w:rPr>
          <w:rFonts w:cs="Arial"/>
          <w:b/>
        </w:rPr>
      </w:pPr>
      <w:r w:rsidRPr="001F7804">
        <w:rPr>
          <w:rFonts w:cs="Arial"/>
          <w:b/>
        </w:rPr>
        <w:t>Объем предложения</w:t>
      </w:r>
    </w:p>
    <w:p w:rsidR="00E31983" w:rsidRDefault="002E1922" w:rsidP="0089756B">
      <w:pPr>
        <w:spacing w:after="0"/>
        <w:ind w:left="-284"/>
        <w:jc w:val="both"/>
        <w:rPr>
          <w:rFonts w:cs="Arial"/>
        </w:rPr>
      </w:pPr>
      <w:r w:rsidRPr="002E1922">
        <w:rPr>
          <w:rFonts w:cs="Arial"/>
        </w:rPr>
        <w:t>Во 2 квартале 2016 года</w:t>
      </w:r>
      <w:r w:rsidR="00A33364">
        <w:rPr>
          <w:rFonts w:cs="Arial"/>
        </w:rPr>
        <w:t xml:space="preserve"> снизился объем предложения за счет выбытия объектов по Салаирскому тракту, что компенсировалось активностью продавцов – на продажу было выставлено более 150 объектов в черте города. Темп прироста к 1 кварталу 2016 года составил -0,37% (↓</w:t>
      </w:r>
      <w:r w:rsidR="009556EF">
        <w:rPr>
          <w:rFonts w:cs="Arial"/>
        </w:rPr>
        <w:t>), к аналогичному периоду предыдущего года – 10,7% (↑).</w:t>
      </w:r>
    </w:p>
    <w:p w:rsidR="009556EF" w:rsidRDefault="009556EF" w:rsidP="0089756B">
      <w:pPr>
        <w:spacing w:after="0"/>
        <w:ind w:left="-284"/>
        <w:jc w:val="both"/>
        <w:rPr>
          <w:rFonts w:cs="Arial"/>
        </w:rPr>
      </w:pPr>
      <w:r>
        <w:rPr>
          <w:rFonts w:cs="Arial"/>
        </w:rPr>
        <w:t>Превалирующим по объему предложения домов остается г. Тюмень (черта города) – 27% или более 1000 объектов на продаже, по остальным направлениям их количество не превышает 500 объектов.</w:t>
      </w:r>
    </w:p>
    <w:p w:rsidR="009556EF" w:rsidRPr="002E1922" w:rsidRDefault="009556EF" w:rsidP="0089756B">
      <w:pPr>
        <w:spacing w:after="0"/>
        <w:ind w:left="-284"/>
        <w:jc w:val="both"/>
        <w:rPr>
          <w:rFonts w:cs="Arial"/>
        </w:rPr>
      </w:pPr>
    </w:p>
    <w:p w:rsidR="00A667BD" w:rsidRPr="001F7804" w:rsidRDefault="002E1922" w:rsidP="00010C16">
      <w:pPr>
        <w:spacing w:after="0"/>
        <w:ind w:left="-284"/>
        <w:jc w:val="center"/>
        <w:rPr>
          <w:rFonts w:cs="Arial"/>
          <w:highlight w:val="yellow"/>
        </w:rPr>
      </w:pPr>
      <w:r>
        <w:rPr>
          <w:noProof/>
        </w:rPr>
        <w:drawing>
          <wp:inline distT="0" distB="0" distL="0" distR="0" wp14:anchorId="468C077B" wp14:editId="15FD47DE">
            <wp:extent cx="5191125" cy="3076574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07478" w:rsidRPr="001F7804" w:rsidRDefault="00607478" w:rsidP="00607478">
      <w:pPr>
        <w:jc w:val="center"/>
        <w:rPr>
          <w:b/>
          <w:highlight w:val="yellow"/>
        </w:rPr>
      </w:pPr>
    </w:p>
    <w:p w:rsidR="00607478" w:rsidRPr="005A160B" w:rsidRDefault="00607478" w:rsidP="00607478">
      <w:pPr>
        <w:ind w:left="-284"/>
        <w:rPr>
          <w:rFonts w:cs="Arial"/>
          <w:b/>
        </w:rPr>
      </w:pPr>
      <w:r w:rsidRPr="005A160B">
        <w:rPr>
          <w:rFonts w:cs="Arial"/>
          <w:b/>
        </w:rPr>
        <w:t>Ценовая ситуация</w:t>
      </w:r>
    </w:p>
    <w:p w:rsidR="0093777E" w:rsidRPr="00F73DE0" w:rsidRDefault="00F73DE0" w:rsidP="00F5572F">
      <w:pPr>
        <w:spacing w:after="0"/>
        <w:ind w:left="-284"/>
        <w:jc w:val="both"/>
        <w:rPr>
          <w:rFonts w:cs="Arial"/>
        </w:rPr>
      </w:pPr>
      <w:r w:rsidRPr="00F73DE0">
        <w:rPr>
          <w:rFonts w:cs="Arial"/>
        </w:rPr>
        <w:t>Во 2 квартале темп прироста удельной цены предложения домов составил 18,3% (33210 руб./кв.м.), тем не менее цена не превысила уровень аналогичного периода 2015 года. Существенное изменение связано с выходом большого количества объектов по одному из самых дорогих направлений города.</w:t>
      </w:r>
    </w:p>
    <w:p w:rsidR="00B9496C" w:rsidRPr="001F7804" w:rsidRDefault="00F73DE0" w:rsidP="00607478">
      <w:pPr>
        <w:jc w:val="center"/>
        <w:rPr>
          <w:b/>
          <w:highlight w:val="yellow"/>
        </w:rPr>
      </w:pPr>
      <w:r>
        <w:rPr>
          <w:noProof/>
        </w:rPr>
        <w:drawing>
          <wp:inline distT="0" distB="0" distL="0" distR="0" wp14:anchorId="2343D72F" wp14:editId="0EBD252F">
            <wp:extent cx="4362450" cy="25622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11735" w:rsidRPr="00A76AF1" w:rsidRDefault="00A76AF1" w:rsidP="00F11735">
      <w:pPr>
        <w:ind w:left="-284"/>
        <w:jc w:val="both"/>
      </w:pPr>
      <w:r w:rsidRPr="00A76AF1">
        <w:lastRenderedPageBreak/>
        <w:t xml:space="preserve">Наибольшая полная цена предложения – в черте города, во 2 квартале 2016 года она составила порядка 4087 тыс.руб., на втором месте Ирбитский тракт – 3829 тыс.руб., далее Салаирский тракт – 3000 тыс.руб. </w:t>
      </w:r>
      <w:r>
        <w:t>Сравнительно недорогие объекты расположены в направлениях Тобольского</w:t>
      </w:r>
      <w:r w:rsidR="00770962">
        <w:t>,</w:t>
      </w:r>
      <w:r>
        <w:t xml:space="preserve"> Червишевского и Велижанского трактов со средней полной ценой около 2500 тыс.руб.</w:t>
      </w:r>
    </w:p>
    <w:p w:rsidR="007B4D32" w:rsidRPr="000E7193" w:rsidRDefault="00607478" w:rsidP="007B4D32">
      <w:pPr>
        <w:pStyle w:val="1"/>
        <w:ind w:left="-284"/>
        <w:rPr>
          <w:rFonts w:asciiTheme="minorHAnsi" w:hAnsiTheme="minorHAnsi" w:cs="Arial"/>
          <w:color w:val="auto"/>
          <w:sz w:val="22"/>
          <w:szCs w:val="22"/>
        </w:rPr>
      </w:pPr>
      <w:r w:rsidRPr="000E7193">
        <w:rPr>
          <w:rFonts w:asciiTheme="minorHAnsi" w:hAnsiTheme="minorHAnsi" w:cs="Arial"/>
          <w:color w:val="auto"/>
          <w:sz w:val="22"/>
          <w:szCs w:val="22"/>
        </w:rPr>
        <w:t>4</w:t>
      </w:r>
      <w:r w:rsidR="007B4D32" w:rsidRPr="000E7193">
        <w:rPr>
          <w:rFonts w:asciiTheme="minorHAnsi" w:hAnsiTheme="minorHAnsi" w:cs="Arial"/>
          <w:color w:val="auto"/>
          <w:sz w:val="22"/>
          <w:szCs w:val="22"/>
        </w:rPr>
        <w:t>. ДАЧИ</w:t>
      </w:r>
      <w:bookmarkEnd w:id="5"/>
    </w:p>
    <w:p w:rsidR="007B4D32" w:rsidRPr="000E7193" w:rsidRDefault="007B4D32" w:rsidP="00DA4396">
      <w:pPr>
        <w:spacing w:before="360"/>
        <w:ind w:left="-284"/>
        <w:rPr>
          <w:rFonts w:cs="Arial"/>
          <w:b/>
        </w:rPr>
      </w:pPr>
      <w:r w:rsidRPr="000E7193">
        <w:rPr>
          <w:rFonts w:cs="Arial"/>
          <w:b/>
        </w:rPr>
        <w:t>Объем предложения</w:t>
      </w:r>
    </w:p>
    <w:p w:rsidR="005A3275" w:rsidRDefault="005A3275" w:rsidP="00A667BD">
      <w:pPr>
        <w:spacing w:after="0"/>
        <w:ind w:left="-284"/>
        <w:jc w:val="both"/>
        <w:rPr>
          <w:rFonts w:cs="Arial"/>
        </w:rPr>
      </w:pPr>
      <w:r w:rsidRPr="005A3275">
        <w:rPr>
          <w:rFonts w:cs="Arial"/>
        </w:rPr>
        <w:t>Общий объем предло</w:t>
      </w:r>
      <w:r>
        <w:rPr>
          <w:rFonts w:cs="Arial"/>
        </w:rPr>
        <w:t>же</w:t>
      </w:r>
      <w:r w:rsidRPr="005A3275">
        <w:rPr>
          <w:rFonts w:cs="Arial"/>
        </w:rPr>
        <w:t>ния дач</w:t>
      </w:r>
      <w:r>
        <w:rPr>
          <w:rFonts w:cs="Arial"/>
        </w:rPr>
        <w:t xml:space="preserve"> составил более 2600 объектов, что на 1,4% больше, чем в предыдущем квартале; годовой темп прироста – 3,8% </w:t>
      </w:r>
      <w:r w:rsidRPr="005A3275">
        <w:rPr>
          <w:rFonts w:cs="Arial"/>
        </w:rPr>
        <w:t>(↑)</w:t>
      </w:r>
      <w:r>
        <w:rPr>
          <w:rFonts w:cs="Arial"/>
        </w:rPr>
        <w:t>.</w:t>
      </w:r>
    </w:p>
    <w:p w:rsidR="00215ECB" w:rsidRPr="001F7804" w:rsidRDefault="005A3275" w:rsidP="00A667BD">
      <w:pPr>
        <w:spacing w:after="0"/>
        <w:ind w:left="-284"/>
        <w:jc w:val="both"/>
        <w:rPr>
          <w:rFonts w:cs="Arial"/>
          <w:highlight w:val="yellow"/>
        </w:rPr>
      </w:pPr>
      <w:r w:rsidRPr="005A3275">
        <w:rPr>
          <w:rFonts w:cs="Arial"/>
        </w:rPr>
        <w:t>Наибольший прирост базы отмечен в черте города Тюмени</w:t>
      </w:r>
      <w:r>
        <w:rPr>
          <w:rFonts w:cs="Arial"/>
        </w:rPr>
        <w:t xml:space="preserve"> – 17,9% </w:t>
      </w:r>
      <w:r w:rsidRPr="005A3275">
        <w:rPr>
          <w:rFonts w:cs="Arial"/>
        </w:rPr>
        <w:t>(↑)</w:t>
      </w:r>
      <w:r w:rsidR="003B4810">
        <w:rPr>
          <w:rFonts w:cs="Arial"/>
        </w:rPr>
        <w:t>.</w:t>
      </w:r>
      <w:r>
        <w:rPr>
          <w:rFonts w:cs="Arial"/>
        </w:rPr>
        <w:t xml:space="preserve"> </w:t>
      </w:r>
    </w:p>
    <w:p w:rsidR="001B1ADC" w:rsidRPr="001F7804" w:rsidRDefault="005A3275" w:rsidP="00C422EA">
      <w:pPr>
        <w:ind w:left="-284"/>
        <w:jc w:val="center"/>
        <w:rPr>
          <w:rFonts w:cs="Arial"/>
          <w:highlight w:val="yellow"/>
        </w:rPr>
      </w:pPr>
      <w:r>
        <w:rPr>
          <w:noProof/>
        </w:rPr>
        <w:drawing>
          <wp:inline distT="0" distB="0" distL="0" distR="0" wp14:anchorId="3A76B86C" wp14:editId="17BE7610">
            <wp:extent cx="5191125" cy="3076574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D0C85" w:rsidRPr="000E7193" w:rsidRDefault="003D0C85" w:rsidP="003D0C85">
      <w:pPr>
        <w:ind w:left="-284"/>
        <w:rPr>
          <w:rFonts w:cs="Arial"/>
          <w:b/>
        </w:rPr>
      </w:pPr>
      <w:r w:rsidRPr="000E7193">
        <w:rPr>
          <w:rFonts w:cs="Arial"/>
          <w:b/>
        </w:rPr>
        <w:t>Ценовая ситуация</w:t>
      </w:r>
    </w:p>
    <w:p w:rsidR="007C23B0" w:rsidRPr="00CD3F52" w:rsidRDefault="00CD3F52" w:rsidP="00DF53B4">
      <w:pPr>
        <w:tabs>
          <w:tab w:val="left" w:pos="3105"/>
        </w:tabs>
        <w:ind w:left="-284"/>
        <w:jc w:val="both"/>
        <w:rPr>
          <w:rFonts w:cs="Arial"/>
          <w:noProof/>
        </w:rPr>
      </w:pPr>
      <w:r w:rsidRPr="00CD3F52">
        <w:rPr>
          <w:rFonts w:cs="Arial"/>
          <w:noProof/>
        </w:rPr>
        <w:t xml:space="preserve">Средняя полная цена предложения дач во 2 квартале 2016г. сложилась на уровне </w:t>
      </w:r>
      <w:r w:rsidR="008A662F">
        <w:rPr>
          <w:rFonts w:cs="Arial"/>
          <w:noProof/>
        </w:rPr>
        <w:t>1255 тыс.руб.</w:t>
      </w:r>
      <w:r w:rsidR="00971ED2">
        <w:rPr>
          <w:rFonts w:cs="Arial"/>
          <w:noProof/>
        </w:rPr>
        <w:t xml:space="preserve"> В разрезе по направлениям высокий уровень цен</w:t>
      </w:r>
      <w:r w:rsidR="00610176">
        <w:rPr>
          <w:rFonts w:cs="Arial"/>
          <w:noProof/>
        </w:rPr>
        <w:t xml:space="preserve"> выявлен</w:t>
      </w:r>
      <w:r w:rsidR="00971ED2">
        <w:rPr>
          <w:rFonts w:cs="Arial"/>
          <w:noProof/>
        </w:rPr>
        <w:t xml:space="preserve"> по Ялуторовскому тракту (1513 тыс.руб.)</w:t>
      </w:r>
      <w:r w:rsidR="00610176">
        <w:rPr>
          <w:rFonts w:cs="Arial"/>
          <w:noProof/>
        </w:rPr>
        <w:t>, больше всего недорогих дач можно найти по Велижанскому тракту, где средняя цена предложения составила 950 тыс.руб.</w:t>
      </w:r>
    </w:p>
    <w:p w:rsidR="004B5BA0" w:rsidRPr="001F7804" w:rsidRDefault="00CD3F52" w:rsidP="004F0A13">
      <w:pPr>
        <w:tabs>
          <w:tab w:val="left" w:pos="3105"/>
        </w:tabs>
        <w:ind w:left="-142"/>
        <w:jc w:val="center"/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75DA4FDB" wp14:editId="062D51AA">
            <wp:extent cx="5953125" cy="30765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4458" w:rsidRPr="000E7193" w:rsidRDefault="003B536F" w:rsidP="00DA4396">
      <w:pPr>
        <w:pStyle w:val="1"/>
        <w:spacing w:after="360"/>
        <w:ind w:left="-284"/>
        <w:rPr>
          <w:rFonts w:asciiTheme="minorHAnsi" w:hAnsiTheme="minorHAnsi" w:cs="Arial"/>
          <w:color w:val="auto"/>
          <w:sz w:val="22"/>
          <w:szCs w:val="22"/>
        </w:rPr>
      </w:pPr>
      <w:bookmarkStart w:id="6" w:name="_Toc401047140"/>
      <w:r w:rsidRPr="000E7193">
        <w:rPr>
          <w:rFonts w:asciiTheme="minorHAnsi" w:hAnsiTheme="minorHAnsi" w:cs="Arial"/>
          <w:color w:val="auto"/>
          <w:sz w:val="22"/>
          <w:szCs w:val="22"/>
        </w:rPr>
        <w:t>5</w:t>
      </w:r>
      <w:r w:rsidR="000F4458" w:rsidRPr="000E7193">
        <w:rPr>
          <w:rFonts w:asciiTheme="minorHAnsi" w:hAnsiTheme="minorHAnsi" w:cs="Arial"/>
          <w:color w:val="auto"/>
          <w:sz w:val="22"/>
          <w:szCs w:val="22"/>
        </w:rPr>
        <w:t>. КОТТЕДЖИ</w:t>
      </w:r>
      <w:bookmarkEnd w:id="6"/>
    </w:p>
    <w:p w:rsidR="000F4458" w:rsidRPr="000E7193" w:rsidRDefault="000F4458" w:rsidP="000F4458">
      <w:pPr>
        <w:ind w:left="-284"/>
        <w:rPr>
          <w:rFonts w:cs="Arial"/>
          <w:b/>
        </w:rPr>
      </w:pPr>
      <w:r w:rsidRPr="000E7193">
        <w:rPr>
          <w:rFonts w:cs="Arial"/>
          <w:b/>
        </w:rPr>
        <w:t>Объем предложения</w:t>
      </w:r>
    </w:p>
    <w:p w:rsidR="004B13B0" w:rsidRDefault="004B13B0" w:rsidP="006F76A2">
      <w:pPr>
        <w:spacing w:after="0"/>
        <w:ind w:left="-284"/>
        <w:contextualSpacing/>
        <w:jc w:val="both"/>
        <w:rPr>
          <w:rFonts w:cs="Arial"/>
        </w:rPr>
      </w:pPr>
      <w:r w:rsidRPr="004B13B0">
        <w:rPr>
          <w:rFonts w:cs="Arial"/>
        </w:rPr>
        <w:t xml:space="preserve">Общий объем предложения коттеджей составил более 1400 объектов, во 2 квартале 2016 года на </w:t>
      </w:r>
      <w:bookmarkStart w:id="7" w:name="_GoBack"/>
      <w:bookmarkEnd w:id="7"/>
      <w:r w:rsidRPr="004B13B0">
        <w:rPr>
          <w:rFonts w:cs="Arial"/>
        </w:rPr>
        <w:t xml:space="preserve">продажу было выставлено более </w:t>
      </w:r>
      <w:r>
        <w:rPr>
          <w:rFonts w:cs="Arial"/>
        </w:rPr>
        <w:t xml:space="preserve">200 </w:t>
      </w:r>
      <w:r w:rsidRPr="004B13B0">
        <w:rPr>
          <w:rFonts w:cs="Arial"/>
        </w:rPr>
        <w:t xml:space="preserve">объектов. Существенное изменение доли </w:t>
      </w:r>
      <w:r w:rsidR="006F76A2">
        <w:rPr>
          <w:rFonts w:cs="Arial"/>
        </w:rPr>
        <w:t>выявлено в черте города (с 25 до 36% в общем объеме предложения), на продажу в данном направлении было выставлено около 70 объектов.</w:t>
      </w:r>
    </w:p>
    <w:p w:rsidR="006F76A2" w:rsidRPr="004B13B0" w:rsidRDefault="006F76A2" w:rsidP="004569D4">
      <w:pPr>
        <w:ind w:left="-284"/>
        <w:jc w:val="both"/>
        <w:rPr>
          <w:rFonts w:cs="Arial"/>
        </w:rPr>
      </w:pPr>
      <w:r>
        <w:rPr>
          <w:rFonts w:cs="Arial"/>
        </w:rPr>
        <w:t>Меньше всего объектов на продаже по Тобольском тракту (4% или менее 30 коттеджей).</w:t>
      </w:r>
    </w:p>
    <w:p w:rsidR="00707B0B" w:rsidRPr="001F7804" w:rsidRDefault="00457668" w:rsidP="00707B0B">
      <w:pPr>
        <w:tabs>
          <w:tab w:val="left" w:pos="3105"/>
        </w:tabs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4F2C324" wp14:editId="4D0D0745">
            <wp:extent cx="5295900" cy="307594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71ED2" w:rsidRDefault="00971ED2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3B536F" w:rsidRPr="000E7193" w:rsidRDefault="003B536F" w:rsidP="00707B0B">
      <w:pPr>
        <w:tabs>
          <w:tab w:val="left" w:pos="3105"/>
        </w:tabs>
        <w:ind w:left="-284"/>
      </w:pPr>
      <w:r w:rsidRPr="000E7193">
        <w:rPr>
          <w:rFonts w:cs="Arial"/>
          <w:b/>
        </w:rPr>
        <w:lastRenderedPageBreak/>
        <w:t>Ценовая ситуация</w:t>
      </w:r>
    </w:p>
    <w:p w:rsidR="008F7BE4" w:rsidRPr="00427E4D" w:rsidRDefault="00427E4D" w:rsidP="008F7BE4">
      <w:pPr>
        <w:tabs>
          <w:tab w:val="left" w:pos="3105"/>
        </w:tabs>
        <w:ind w:left="-284"/>
        <w:jc w:val="both"/>
        <w:rPr>
          <w:rFonts w:cs="Arial"/>
          <w:noProof/>
        </w:rPr>
      </w:pPr>
      <w:r w:rsidRPr="00427E4D">
        <w:rPr>
          <w:rFonts w:cs="Arial"/>
          <w:noProof/>
        </w:rPr>
        <w:t>Средняя цена 1 кв.м. коттеджа во 2 квартале 2016 года сложилась на уровне 41757 руб., не</w:t>
      </w:r>
      <w:r w:rsidR="00971ED2">
        <w:rPr>
          <w:rFonts w:cs="Arial"/>
          <w:noProof/>
        </w:rPr>
        <w:t xml:space="preserve">значительный </w:t>
      </w:r>
      <w:r w:rsidRPr="00427E4D">
        <w:rPr>
          <w:rFonts w:cs="Arial"/>
          <w:noProof/>
        </w:rPr>
        <w:t>рост цены (в рамках погрешности) обусловлен выходом новых объектов на продажу и выбытием.</w:t>
      </w:r>
      <w:r>
        <w:rPr>
          <w:rFonts w:cs="Arial"/>
          <w:noProof/>
        </w:rPr>
        <w:t xml:space="preserve"> </w:t>
      </w:r>
    </w:p>
    <w:p w:rsidR="00CB7652" w:rsidRPr="001F7804" w:rsidRDefault="00A05302" w:rsidP="008F7BE4">
      <w:pPr>
        <w:tabs>
          <w:tab w:val="left" w:pos="3105"/>
        </w:tabs>
        <w:ind w:left="-284"/>
        <w:jc w:val="center"/>
        <w:rPr>
          <w:rFonts w:cs="Arial"/>
          <w:noProof/>
          <w:highlight w:val="yellow"/>
        </w:rPr>
      </w:pPr>
      <w:r>
        <w:rPr>
          <w:noProof/>
        </w:rPr>
        <w:drawing>
          <wp:inline distT="0" distB="0" distL="0" distR="0" wp14:anchorId="0A7BD60E" wp14:editId="76620CB2">
            <wp:extent cx="4362450" cy="256222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5009D" w:rsidRPr="001F7804" w:rsidRDefault="00E5009D" w:rsidP="00CB7652">
      <w:pPr>
        <w:jc w:val="center"/>
        <w:rPr>
          <w:highlight w:val="yellow"/>
        </w:rPr>
      </w:pPr>
    </w:p>
    <w:p w:rsidR="00DA4396" w:rsidRPr="000E7193" w:rsidRDefault="004713FE" w:rsidP="00DA4396">
      <w:pPr>
        <w:ind w:left="-284"/>
        <w:rPr>
          <w:rFonts w:cs="Arial"/>
          <w:b/>
        </w:rPr>
      </w:pPr>
      <w:bookmarkStart w:id="8" w:name="_Toc401047141"/>
      <w:r w:rsidRPr="000E7193">
        <w:rPr>
          <w:rFonts w:cs="Arial"/>
          <w:b/>
        </w:rPr>
        <w:t>6. ТАУНХАУСЫ</w:t>
      </w:r>
      <w:bookmarkEnd w:id="8"/>
    </w:p>
    <w:p w:rsidR="004713FE" w:rsidRPr="000E7193" w:rsidRDefault="004713FE" w:rsidP="00DA4396">
      <w:pPr>
        <w:spacing w:before="360" w:line="240" w:lineRule="auto"/>
        <w:ind w:left="-284"/>
        <w:rPr>
          <w:rFonts w:cs="Arial"/>
          <w:b/>
        </w:rPr>
      </w:pPr>
      <w:r w:rsidRPr="000E7193">
        <w:rPr>
          <w:rFonts w:cs="Arial"/>
          <w:b/>
        </w:rPr>
        <w:t>Объем предложения</w:t>
      </w:r>
    </w:p>
    <w:p w:rsidR="00094EC3" w:rsidRPr="00676577" w:rsidRDefault="00094EC3" w:rsidP="009009B7">
      <w:pPr>
        <w:tabs>
          <w:tab w:val="left" w:pos="3105"/>
        </w:tabs>
        <w:ind w:left="-284"/>
        <w:jc w:val="both"/>
        <w:rPr>
          <w:rFonts w:cs="Arial"/>
        </w:rPr>
      </w:pPr>
      <w:r w:rsidRPr="00676577">
        <w:rPr>
          <w:rFonts w:cs="Arial"/>
        </w:rPr>
        <w:t xml:space="preserve">Во 2 квартале на продажу было выставлено 26 таунхаусов, в основном это объекты </w:t>
      </w:r>
      <w:r w:rsidR="00676577" w:rsidRPr="00676577">
        <w:rPr>
          <w:rFonts w:cs="Arial"/>
        </w:rPr>
        <w:t>в п. Московский и районе Цимлянское. За счет выхода новых объектов доля объема предложения по Московскому тракту увеличилась на 2%.</w:t>
      </w:r>
    </w:p>
    <w:p w:rsidR="00094EC3" w:rsidRDefault="00094EC3" w:rsidP="00094EC3">
      <w:pPr>
        <w:tabs>
          <w:tab w:val="left" w:pos="3105"/>
        </w:tabs>
        <w:ind w:left="-284"/>
        <w:jc w:val="center"/>
        <w:rPr>
          <w:rFonts w:cs="Arial"/>
          <w:highlight w:val="yellow"/>
        </w:rPr>
      </w:pPr>
      <w:r>
        <w:rPr>
          <w:noProof/>
        </w:rPr>
        <w:drawing>
          <wp:inline distT="0" distB="0" distL="0" distR="0" wp14:anchorId="6BA4EED5" wp14:editId="7F888314">
            <wp:extent cx="5191125" cy="3076574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94EC3" w:rsidRPr="001F7804" w:rsidRDefault="00094EC3" w:rsidP="009009B7">
      <w:pPr>
        <w:tabs>
          <w:tab w:val="left" w:pos="3105"/>
        </w:tabs>
        <w:ind w:left="-284"/>
        <w:jc w:val="both"/>
        <w:rPr>
          <w:highlight w:val="yellow"/>
        </w:rPr>
      </w:pPr>
    </w:p>
    <w:p w:rsidR="004713FE" w:rsidRPr="000E7193" w:rsidRDefault="004713FE" w:rsidP="009009B7">
      <w:pPr>
        <w:ind w:left="-284"/>
        <w:rPr>
          <w:rFonts w:cs="Arial"/>
          <w:b/>
        </w:rPr>
      </w:pPr>
      <w:r w:rsidRPr="000E7193">
        <w:rPr>
          <w:rFonts w:cs="Arial"/>
          <w:b/>
        </w:rPr>
        <w:lastRenderedPageBreak/>
        <w:t>Ценовая ситуация</w:t>
      </w:r>
    </w:p>
    <w:p w:rsidR="00392051" w:rsidRPr="00094EC3" w:rsidRDefault="00094EC3" w:rsidP="0023464F">
      <w:pPr>
        <w:ind w:left="-284"/>
        <w:jc w:val="both"/>
        <w:rPr>
          <w:rFonts w:cs="Arial"/>
        </w:rPr>
      </w:pPr>
      <w:r w:rsidRPr="00094EC3">
        <w:rPr>
          <w:rFonts w:cs="Arial"/>
        </w:rPr>
        <w:t>На 2,8% снизилась удельная цена предложения таунхаусов во 2 квартале 2016г., годовой темп прироста – 6,36% (</w:t>
      </w:r>
      <w:r>
        <w:rPr>
          <w:rFonts w:cs="Arial"/>
        </w:rPr>
        <w:t>↓</w:t>
      </w:r>
      <w:r w:rsidRPr="00094EC3">
        <w:rPr>
          <w:rFonts w:cs="Arial"/>
        </w:rPr>
        <w:t xml:space="preserve">). </w:t>
      </w:r>
    </w:p>
    <w:p w:rsidR="002F662A" w:rsidRPr="001F7804" w:rsidRDefault="00094EC3" w:rsidP="00606B80">
      <w:pPr>
        <w:tabs>
          <w:tab w:val="left" w:pos="3105"/>
        </w:tabs>
        <w:ind w:left="-284"/>
        <w:jc w:val="center"/>
        <w:rPr>
          <w:noProof/>
          <w:highlight w:val="yellow"/>
          <w:lang w:val="en-US"/>
        </w:rPr>
      </w:pPr>
      <w:r>
        <w:rPr>
          <w:noProof/>
        </w:rPr>
        <w:drawing>
          <wp:inline distT="0" distB="0" distL="0" distR="0" wp14:anchorId="225AB66B" wp14:editId="75AFE6FD">
            <wp:extent cx="4362450" cy="256222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3464F" w:rsidRPr="00676577" w:rsidRDefault="00676577" w:rsidP="00676577">
      <w:pPr>
        <w:tabs>
          <w:tab w:val="left" w:pos="3105"/>
        </w:tabs>
        <w:ind w:left="-284"/>
        <w:jc w:val="both"/>
        <w:rPr>
          <w:noProof/>
        </w:rPr>
      </w:pPr>
      <w:r w:rsidRPr="00676577">
        <w:rPr>
          <w:noProof/>
        </w:rPr>
        <w:t>Средняя полная цена за рассматриваемый период сожилась на уровне 7404 тыс.руб. , в в районах комплекной застройки – 10965 тыс.руб. в черте города и 4130 тыс.руб. в направлении Московского тракта.</w:t>
      </w:r>
    </w:p>
    <w:p w:rsidR="0023464F" w:rsidRPr="001F7804" w:rsidRDefault="0023464F" w:rsidP="00676577">
      <w:pPr>
        <w:tabs>
          <w:tab w:val="left" w:pos="3105"/>
        </w:tabs>
        <w:ind w:left="-284"/>
        <w:jc w:val="both"/>
        <w:rPr>
          <w:highlight w:val="yellow"/>
        </w:rPr>
        <w:sectPr w:rsidR="0023464F" w:rsidRPr="001F7804" w:rsidSect="008B6E35">
          <w:headerReference w:type="default" r:id="rId2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30890" w:rsidRPr="00CC30B9" w:rsidRDefault="00EB56ED">
      <w:r w:rsidRPr="001F7804">
        <w:rPr>
          <w:noProof/>
          <w:highlight w:val="yellow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-1073785</wp:posOffset>
            </wp:positionH>
            <wp:positionV relativeFrom="margin">
              <wp:posOffset>-720090</wp:posOffset>
            </wp:positionV>
            <wp:extent cx="7541260" cy="10701020"/>
            <wp:effectExtent l="0" t="0" r="2540" b="5080"/>
            <wp:wrapSquare wrapText="bothSides"/>
            <wp:docPr id="19" name="Рисунок 19" descr="рекламная страница для об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ламная страница для обзор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70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0890" w:rsidRPr="00CC30B9" w:rsidSect="008B6E3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300" w:rsidRDefault="00646300" w:rsidP="003C7084">
      <w:pPr>
        <w:spacing w:after="0" w:line="240" w:lineRule="auto"/>
      </w:pPr>
      <w:r>
        <w:separator/>
      </w:r>
    </w:p>
  </w:endnote>
  <w:endnote w:type="continuationSeparator" w:id="0">
    <w:p w:rsidR="00646300" w:rsidRDefault="00646300" w:rsidP="003C7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300" w:rsidRDefault="00646300" w:rsidP="003C7084">
      <w:pPr>
        <w:spacing w:after="0" w:line="240" w:lineRule="auto"/>
      </w:pPr>
      <w:r>
        <w:separator/>
      </w:r>
    </w:p>
  </w:footnote>
  <w:footnote w:type="continuationSeparator" w:id="0">
    <w:p w:rsidR="00646300" w:rsidRDefault="00646300" w:rsidP="003C7084">
      <w:pPr>
        <w:spacing w:after="0" w:line="240" w:lineRule="auto"/>
      </w:pPr>
      <w:r>
        <w:continuationSeparator/>
      </w:r>
    </w:p>
  </w:footnote>
  <w:footnote w:id="1">
    <w:p w:rsidR="002B2B52" w:rsidRPr="00D7176F" w:rsidRDefault="002B2B52" w:rsidP="003C7084">
      <w:pPr>
        <w:pStyle w:val="a3"/>
        <w:rPr>
          <w:color w:val="244061" w:themeColor="accent1" w:themeShade="80"/>
        </w:rPr>
      </w:pPr>
      <w:r w:rsidRPr="00D7176F">
        <w:rPr>
          <w:rStyle w:val="a5"/>
          <w:color w:val="244061" w:themeColor="accent1" w:themeShade="80"/>
        </w:rPr>
        <w:footnoteRef/>
      </w:r>
      <w:r w:rsidRPr="00D7176F">
        <w:rPr>
          <w:color w:val="244061" w:themeColor="accent1" w:themeShade="80"/>
        </w:rPr>
        <w:t xml:space="preserve"> </w:t>
      </w:r>
      <w:r w:rsidRPr="00AF11A1">
        <w:rPr>
          <w:rFonts w:ascii="Arial" w:hAnsi="Arial" w:cs="Arial"/>
          <w:color w:val="244061" w:themeColor="accent1" w:themeShade="80"/>
          <w:sz w:val="18"/>
          <w:szCs w:val="18"/>
        </w:rPr>
        <w:t>О</w:t>
      </w:r>
      <w:r>
        <w:rPr>
          <w:rFonts w:ascii="Arial" w:hAnsi="Arial" w:cs="Arial"/>
          <w:color w:val="244061" w:themeColor="accent1" w:themeShade="80"/>
          <w:sz w:val="18"/>
          <w:szCs w:val="18"/>
        </w:rPr>
        <w:t>бзор</w:t>
      </w:r>
      <w:r w:rsidRPr="00AF11A1">
        <w:rPr>
          <w:rFonts w:ascii="Arial" w:hAnsi="Arial" w:cs="Arial"/>
          <w:color w:val="244061" w:themeColor="accent1" w:themeShade="80"/>
          <w:sz w:val="18"/>
          <w:szCs w:val="18"/>
        </w:rPr>
        <w:t xml:space="preserve"> подготовлен на основании базы компании "Этажи", по методологии Главного аналитика РГР Стерника Г.М.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921830"/>
      <w:docPartObj>
        <w:docPartGallery w:val="Page Numbers (Top of Page)"/>
        <w:docPartUnique/>
      </w:docPartObj>
    </w:sdtPr>
    <w:sdtEndPr/>
    <w:sdtContent>
      <w:p w:rsidR="002B2B52" w:rsidRDefault="00392051">
        <w:pPr>
          <w:pStyle w:val="a8"/>
          <w:jc w:val="right"/>
        </w:pPr>
        <w:r>
          <w:t xml:space="preserve"> </w:t>
        </w:r>
        <w:r w:rsidR="00BD5D76">
          <w:fldChar w:fldCharType="begin"/>
        </w:r>
        <w:r w:rsidR="00BD5D76">
          <w:instrText xml:space="preserve"> PAGE   \* MERGEFORMAT </w:instrText>
        </w:r>
        <w:r w:rsidR="00BD5D76">
          <w:fldChar w:fldCharType="separate"/>
        </w:r>
        <w:r w:rsidR="00610176">
          <w:rPr>
            <w:noProof/>
          </w:rPr>
          <w:t>8</w:t>
        </w:r>
        <w:r w:rsidR="00BD5D76">
          <w:rPr>
            <w:noProof/>
          </w:rPr>
          <w:fldChar w:fldCharType="end"/>
        </w:r>
      </w:p>
    </w:sdtContent>
  </w:sdt>
  <w:p w:rsidR="002B2B52" w:rsidRDefault="002B2B5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61C41"/>
    <w:multiLevelType w:val="hybridMultilevel"/>
    <w:tmpl w:val="557E2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84"/>
    <w:rsid w:val="00003B13"/>
    <w:rsid w:val="00006E2A"/>
    <w:rsid w:val="00010045"/>
    <w:rsid w:val="00010C16"/>
    <w:rsid w:val="000256B9"/>
    <w:rsid w:val="00030CA9"/>
    <w:rsid w:val="00037838"/>
    <w:rsid w:val="00050841"/>
    <w:rsid w:val="00050E97"/>
    <w:rsid w:val="00052D6E"/>
    <w:rsid w:val="00056CE9"/>
    <w:rsid w:val="00065F50"/>
    <w:rsid w:val="0006673C"/>
    <w:rsid w:val="0007550C"/>
    <w:rsid w:val="00077D90"/>
    <w:rsid w:val="0008282F"/>
    <w:rsid w:val="000873EB"/>
    <w:rsid w:val="000905D9"/>
    <w:rsid w:val="00094EC3"/>
    <w:rsid w:val="000A480A"/>
    <w:rsid w:val="000B7362"/>
    <w:rsid w:val="000C2C16"/>
    <w:rsid w:val="000E4340"/>
    <w:rsid w:val="000E7193"/>
    <w:rsid w:val="000F02BB"/>
    <w:rsid w:val="000F4458"/>
    <w:rsid w:val="000F6BB2"/>
    <w:rsid w:val="00106766"/>
    <w:rsid w:val="001070DF"/>
    <w:rsid w:val="0011160C"/>
    <w:rsid w:val="00120183"/>
    <w:rsid w:val="001247C3"/>
    <w:rsid w:val="0013350B"/>
    <w:rsid w:val="00151817"/>
    <w:rsid w:val="00153B19"/>
    <w:rsid w:val="0016398A"/>
    <w:rsid w:val="0019139B"/>
    <w:rsid w:val="001B0265"/>
    <w:rsid w:val="001B096F"/>
    <w:rsid w:val="001B1ADC"/>
    <w:rsid w:val="001C3EA4"/>
    <w:rsid w:val="001D1002"/>
    <w:rsid w:val="001D3BAE"/>
    <w:rsid w:val="001F37FF"/>
    <w:rsid w:val="001F7804"/>
    <w:rsid w:val="002038C6"/>
    <w:rsid w:val="0020580E"/>
    <w:rsid w:val="00207167"/>
    <w:rsid w:val="00215ECB"/>
    <w:rsid w:val="00220F6E"/>
    <w:rsid w:val="002324EC"/>
    <w:rsid w:val="0023464F"/>
    <w:rsid w:val="00243056"/>
    <w:rsid w:val="00245CBC"/>
    <w:rsid w:val="00247DC8"/>
    <w:rsid w:val="0026687F"/>
    <w:rsid w:val="002739EC"/>
    <w:rsid w:val="00280A0A"/>
    <w:rsid w:val="00280C2C"/>
    <w:rsid w:val="002847D2"/>
    <w:rsid w:val="00286DB1"/>
    <w:rsid w:val="00291A5D"/>
    <w:rsid w:val="0029467D"/>
    <w:rsid w:val="002B2B52"/>
    <w:rsid w:val="002C16E7"/>
    <w:rsid w:val="002C393C"/>
    <w:rsid w:val="002E1922"/>
    <w:rsid w:val="002F662A"/>
    <w:rsid w:val="00314C7A"/>
    <w:rsid w:val="00315358"/>
    <w:rsid w:val="00316DD4"/>
    <w:rsid w:val="00316F20"/>
    <w:rsid w:val="0033214B"/>
    <w:rsid w:val="00332CA6"/>
    <w:rsid w:val="00336BF2"/>
    <w:rsid w:val="00354D28"/>
    <w:rsid w:val="003655E1"/>
    <w:rsid w:val="003831E4"/>
    <w:rsid w:val="0038530C"/>
    <w:rsid w:val="00392051"/>
    <w:rsid w:val="003971FF"/>
    <w:rsid w:val="003A50CD"/>
    <w:rsid w:val="003A6885"/>
    <w:rsid w:val="003A6E10"/>
    <w:rsid w:val="003A7FDD"/>
    <w:rsid w:val="003B2F29"/>
    <w:rsid w:val="003B4810"/>
    <w:rsid w:val="003B536F"/>
    <w:rsid w:val="003B6019"/>
    <w:rsid w:val="003C0629"/>
    <w:rsid w:val="003C7084"/>
    <w:rsid w:val="003D040D"/>
    <w:rsid w:val="003D0C85"/>
    <w:rsid w:val="003D6F2B"/>
    <w:rsid w:val="003E4F74"/>
    <w:rsid w:val="004010EF"/>
    <w:rsid w:val="004155FD"/>
    <w:rsid w:val="00425C37"/>
    <w:rsid w:val="00427E4D"/>
    <w:rsid w:val="00442DE5"/>
    <w:rsid w:val="004533DE"/>
    <w:rsid w:val="004569D4"/>
    <w:rsid w:val="00457668"/>
    <w:rsid w:val="004713FE"/>
    <w:rsid w:val="004760B3"/>
    <w:rsid w:val="0048040C"/>
    <w:rsid w:val="00482CD9"/>
    <w:rsid w:val="00490E2D"/>
    <w:rsid w:val="00491938"/>
    <w:rsid w:val="004A5BBF"/>
    <w:rsid w:val="004A6DFF"/>
    <w:rsid w:val="004B13B0"/>
    <w:rsid w:val="004B16E6"/>
    <w:rsid w:val="004B5BA0"/>
    <w:rsid w:val="004C2EDA"/>
    <w:rsid w:val="004C328F"/>
    <w:rsid w:val="004C72DB"/>
    <w:rsid w:val="004E6422"/>
    <w:rsid w:val="004E6A5F"/>
    <w:rsid w:val="004E6B38"/>
    <w:rsid w:val="004E6FBF"/>
    <w:rsid w:val="004F0A13"/>
    <w:rsid w:val="004F3A7C"/>
    <w:rsid w:val="00500E60"/>
    <w:rsid w:val="005024C1"/>
    <w:rsid w:val="005063B3"/>
    <w:rsid w:val="00507B52"/>
    <w:rsid w:val="00522941"/>
    <w:rsid w:val="005252EC"/>
    <w:rsid w:val="00527F05"/>
    <w:rsid w:val="00527FF6"/>
    <w:rsid w:val="00532969"/>
    <w:rsid w:val="00541322"/>
    <w:rsid w:val="00542246"/>
    <w:rsid w:val="005459CB"/>
    <w:rsid w:val="00546B3F"/>
    <w:rsid w:val="00550D4D"/>
    <w:rsid w:val="0055779F"/>
    <w:rsid w:val="005629D5"/>
    <w:rsid w:val="0057159E"/>
    <w:rsid w:val="00582C5A"/>
    <w:rsid w:val="005868C4"/>
    <w:rsid w:val="005A160B"/>
    <w:rsid w:val="005A3275"/>
    <w:rsid w:val="005B056A"/>
    <w:rsid w:val="005B3453"/>
    <w:rsid w:val="005B353A"/>
    <w:rsid w:val="005D5383"/>
    <w:rsid w:val="00606771"/>
    <w:rsid w:val="006069A8"/>
    <w:rsid w:val="00606B80"/>
    <w:rsid w:val="00607140"/>
    <w:rsid w:val="00607478"/>
    <w:rsid w:val="00610176"/>
    <w:rsid w:val="00611E9E"/>
    <w:rsid w:val="0061232A"/>
    <w:rsid w:val="006173A9"/>
    <w:rsid w:val="0062175A"/>
    <w:rsid w:val="0063529C"/>
    <w:rsid w:val="00646300"/>
    <w:rsid w:val="00656EED"/>
    <w:rsid w:val="00676577"/>
    <w:rsid w:val="006768D7"/>
    <w:rsid w:val="006C0FBB"/>
    <w:rsid w:val="006C6D4A"/>
    <w:rsid w:val="006D0AB8"/>
    <w:rsid w:val="006D1648"/>
    <w:rsid w:val="006F7175"/>
    <w:rsid w:val="006F76A2"/>
    <w:rsid w:val="00707B0B"/>
    <w:rsid w:val="0072500A"/>
    <w:rsid w:val="007601DE"/>
    <w:rsid w:val="007608C3"/>
    <w:rsid w:val="007621CE"/>
    <w:rsid w:val="00765627"/>
    <w:rsid w:val="00770962"/>
    <w:rsid w:val="00771654"/>
    <w:rsid w:val="00771690"/>
    <w:rsid w:val="007718D5"/>
    <w:rsid w:val="00794576"/>
    <w:rsid w:val="00797855"/>
    <w:rsid w:val="007B316B"/>
    <w:rsid w:val="007B3329"/>
    <w:rsid w:val="007B4D32"/>
    <w:rsid w:val="007C0EC5"/>
    <w:rsid w:val="007C23B0"/>
    <w:rsid w:val="007E0521"/>
    <w:rsid w:val="007E7696"/>
    <w:rsid w:val="007F0791"/>
    <w:rsid w:val="007F22CF"/>
    <w:rsid w:val="007F4122"/>
    <w:rsid w:val="007F4375"/>
    <w:rsid w:val="008125D0"/>
    <w:rsid w:val="00816FF1"/>
    <w:rsid w:val="0083113C"/>
    <w:rsid w:val="00842172"/>
    <w:rsid w:val="00870493"/>
    <w:rsid w:val="008734E3"/>
    <w:rsid w:val="00874E0D"/>
    <w:rsid w:val="00890016"/>
    <w:rsid w:val="00891E35"/>
    <w:rsid w:val="00893436"/>
    <w:rsid w:val="0089756B"/>
    <w:rsid w:val="00897E97"/>
    <w:rsid w:val="008A662F"/>
    <w:rsid w:val="008B6E35"/>
    <w:rsid w:val="008C1004"/>
    <w:rsid w:val="008C6427"/>
    <w:rsid w:val="008F65A4"/>
    <w:rsid w:val="008F6B7F"/>
    <w:rsid w:val="008F7BE4"/>
    <w:rsid w:val="009009B7"/>
    <w:rsid w:val="00912268"/>
    <w:rsid w:val="00914BEC"/>
    <w:rsid w:val="0092195F"/>
    <w:rsid w:val="0093777E"/>
    <w:rsid w:val="009416DD"/>
    <w:rsid w:val="009526FD"/>
    <w:rsid w:val="009556EF"/>
    <w:rsid w:val="00955F31"/>
    <w:rsid w:val="0096048C"/>
    <w:rsid w:val="00971ED2"/>
    <w:rsid w:val="009915AE"/>
    <w:rsid w:val="00992802"/>
    <w:rsid w:val="00997417"/>
    <w:rsid w:val="009A03FC"/>
    <w:rsid w:val="009A386E"/>
    <w:rsid w:val="009A3932"/>
    <w:rsid w:val="009A68DE"/>
    <w:rsid w:val="009B3B20"/>
    <w:rsid w:val="009D1301"/>
    <w:rsid w:val="009D5B34"/>
    <w:rsid w:val="00A01811"/>
    <w:rsid w:val="00A018D3"/>
    <w:rsid w:val="00A05302"/>
    <w:rsid w:val="00A104C9"/>
    <w:rsid w:val="00A115D9"/>
    <w:rsid w:val="00A15E27"/>
    <w:rsid w:val="00A15F13"/>
    <w:rsid w:val="00A264DF"/>
    <w:rsid w:val="00A265FE"/>
    <w:rsid w:val="00A33364"/>
    <w:rsid w:val="00A342F9"/>
    <w:rsid w:val="00A4595A"/>
    <w:rsid w:val="00A667BD"/>
    <w:rsid w:val="00A72C76"/>
    <w:rsid w:val="00A76AF1"/>
    <w:rsid w:val="00A85CED"/>
    <w:rsid w:val="00A85DB2"/>
    <w:rsid w:val="00AA125E"/>
    <w:rsid w:val="00AA34F9"/>
    <w:rsid w:val="00AC00AE"/>
    <w:rsid w:val="00AC74A4"/>
    <w:rsid w:val="00AD27C7"/>
    <w:rsid w:val="00AD3C99"/>
    <w:rsid w:val="00AD7AD5"/>
    <w:rsid w:val="00AF109A"/>
    <w:rsid w:val="00B15C97"/>
    <w:rsid w:val="00B26000"/>
    <w:rsid w:val="00B31815"/>
    <w:rsid w:val="00B33B1A"/>
    <w:rsid w:val="00B34FD8"/>
    <w:rsid w:val="00B42F31"/>
    <w:rsid w:val="00B503CC"/>
    <w:rsid w:val="00B5387B"/>
    <w:rsid w:val="00B54426"/>
    <w:rsid w:val="00B57A2E"/>
    <w:rsid w:val="00B66919"/>
    <w:rsid w:val="00B8263F"/>
    <w:rsid w:val="00B83AB8"/>
    <w:rsid w:val="00B840A1"/>
    <w:rsid w:val="00B9496C"/>
    <w:rsid w:val="00BA3C62"/>
    <w:rsid w:val="00BA65A6"/>
    <w:rsid w:val="00BB1E12"/>
    <w:rsid w:val="00BC75E0"/>
    <w:rsid w:val="00BD36C4"/>
    <w:rsid w:val="00BD5D76"/>
    <w:rsid w:val="00BE5538"/>
    <w:rsid w:val="00BF09A7"/>
    <w:rsid w:val="00BF791E"/>
    <w:rsid w:val="00C043D2"/>
    <w:rsid w:val="00C11B56"/>
    <w:rsid w:val="00C1276C"/>
    <w:rsid w:val="00C1368E"/>
    <w:rsid w:val="00C156E1"/>
    <w:rsid w:val="00C30890"/>
    <w:rsid w:val="00C31124"/>
    <w:rsid w:val="00C422EA"/>
    <w:rsid w:val="00C45CAD"/>
    <w:rsid w:val="00C63D7E"/>
    <w:rsid w:val="00C65078"/>
    <w:rsid w:val="00C7103E"/>
    <w:rsid w:val="00C75CAE"/>
    <w:rsid w:val="00C77635"/>
    <w:rsid w:val="00C81C95"/>
    <w:rsid w:val="00CA14FF"/>
    <w:rsid w:val="00CA1DF3"/>
    <w:rsid w:val="00CB7652"/>
    <w:rsid w:val="00CC30B9"/>
    <w:rsid w:val="00CD3F52"/>
    <w:rsid w:val="00CF6A5D"/>
    <w:rsid w:val="00D027E5"/>
    <w:rsid w:val="00D13C07"/>
    <w:rsid w:val="00D21D0F"/>
    <w:rsid w:val="00D27706"/>
    <w:rsid w:val="00D31105"/>
    <w:rsid w:val="00D40ADB"/>
    <w:rsid w:val="00D50F07"/>
    <w:rsid w:val="00D64DCA"/>
    <w:rsid w:val="00D65E2B"/>
    <w:rsid w:val="00D74819"/>
    <w:rsid w:val="00D77EDD"/>
    <w:rsid w:val="00D8247F"/>
    <w:rsid w:val="00DA08CC"/>
    <w:rsid w:val="00DA3D6A"/>
    <w:rsid w:val="00DA4396"/>
    <w:rsid w:val="00DA526E"/>
    <w:rsid w:val="00DA5AC2"/>
    <w:rsid w:val="00DB7615"/>
    <w:rsid w:val="00DC1BBE"/>
    <w:rsid w:val="00DC40E2"/>
    <w:rsid w:val="00DC7EDC"/>
    <w:rsid w:val="00DD0264"/>
    <w:rsid w:val="00DD2433"/>
    <w:rsid w:val="00DD72B1"/>
    <w:rsid w:val="00DD7AB8"/>
    <w:rsid w:val="00DE4609"/>
    <w:rsid w:val="00DE5912"/>
    <w:rsid w:val="00DF53B4"/>
    <w:rsid w:val="00E018A3"/>
    <w:rsid w:val="00E0724A"/>
    <w:rsid w:val="00E11E5B"/>
    <w:rsid w:val="00E17D31"/>
    <w:rsid w:val="00E2651D"/>
    <w:rsid w:val="00E31983"/>
    <w:rsid w:val="00E33FFB"/>
    <w:rsid w:val="00E349A8"/>
    <w:rsid w:val="00E45B7C"/>
    <w:rsid w:val="00E5009D"/>
    <w:rsid w:val="00E560EB"/>
    <w:rsid w:val="00E56CC9"/>
    <w:rsid w:val="00E643A9"/>
    <w:rsid w:val="00E740FE"/>
    <w:rsid w:val="00E83C2B"/>
    <w:rsid w:val="00E877C6"/>
    <w:rsid w:val="00E87918"/>
    <w:rsid w:val="00E91FCA"/>
    <w:rsid w:val="00EA0956"/>
    <w:rsid w:val="00EA48EF"/>
    <w:rsid w:val="00EB56ED"/>
    <w:rsid w:val="00EC1AE9"/>
    <w:rsid w:val="00EE021A"/>
    <w:rsid w:val="00EF5002"/>
    <w:rsid w:val="00F07E1F"/>
    <w:rsid w:val="00F11735"/>
    <w:rsid w:val="00F13716"/>
    <w:rsid w:val="00F1658A"/>
    <w:rsid w:val="00F26B1A"/>
    <w:rsid w:val="00F27469"/>
    <w:rsid w:val="00F5572F"/>
    <w:rsid w:val="00F56332"/>
    <w:rsid w:val="00F66FE4"/>
    <w:rsid w:val="00F73DE0"/>
    <w:rsid w:val="00F8032B"/>
    <w:rsid w:val="00F8390A"/>
    <w:rsid w:val="00F84387"/>
    <w:rsid w:val="00F95168"/>
    <w:rsid w:val="00FA0646"/>
    <w:rsid w:val="00FE131F"/>
    <w:rsid w:val="00FF216A"/>
    <w:rsid w:val="00FF72DB"/>
    <w:rsid w:val="00FF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11232B"/>
  <w15:docId w15:val="{FF5272B0-3C2F-4870-8C55-48742031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08282F"/>
  </w:style>
  <w:style w:type="paragraph" w:styleId="1">
    <w:name w:val="heading 1"/>
    <w:basedOn w:val="a"/>
    <w:next w:val="a"/>
    <w:link w:val="10"/>
    <w:uiPriority w:val="9"/>
    <w:qFormat/>
    <w:rsid w:val="004A5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C708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C708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C708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C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0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B6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6E35"/>
  </w:style>
  <w:style w:type="paragraph" w:styleId="aa">
    <w:name w:val="footer"/>
    <w:basedOn w:val="a"/>
    <w:link w:val="ab"/>
    <w:uiPriority w:val="99"/>
    <w:unhideWhenUsed/>
    <w:rsid w:val="008B6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6E35"/>
  </w:style>
  <w:style w:type="table" w:styleId="ac">
    <w:name w:val="Table Grid"/>
    <w:basedOn w:val="a1"/>
    <w:uiPriority w:val="59"/>
    <w:rsid w:val="004C32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5">
    <w:name w:val="Medium Shading 1 Accent 5"/>
    <w:basedOn w:val="a1"/>
    <w:uiPriority w:val="63"/>
    <w:rsid w:val="004C328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4A5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4A5BB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A5BBF"/>
    <w:pPr>
      <w:spacing w:after="100"/>
    </w:pPr>
  </w:style>
  <w:style w:type="character" w:styleId="ae">
    <w:name w:val="Hyperlink"/>
    <w:basedOn w:val="a0"/>
    <w:uiPriority w:val="99"/>
    <w:unhideWhenUsed/>
    <w:rsid w:val="004A5BBF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A26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caladmin\Google%20&#1044;&#1080;&#1089;&#1082;\&#1047;&#1040;&#1043;&#1054;&#1056;&#1054;&#1044;&#1050;&#1040;\2%20&#1050;&#1042;&#1040;&#1056;&#1058;&#1040;&#1051;%202016\&#1079;&#1072;&#1075;&#1086;&#1088;&#1086;&#1076;&#1085;&#1072;&#1103;,%202%20&#1082;&#1074;.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Объем предложения  (к янв.2014г.), %</a:t>
            </a:r>
          </a:p>
        </c:rich>
      </c:tx>
      <c:layout>
        <c:manualLayout>
          <c:xMode val="edge"/>
          <c:yMode val="edge"/>
          <c:x val="0.30384830120759404"/>
          <c:y val="6.48911783584912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277310924369768E-2"/>
          <c:y val="0.10789754728934746"/>
          <c:w val="0.88485993676176744"/>
          <c:h val="0.72872577147050532"/>
        </c:manualLayout>
      </c:layout>
      <c:lineChart>
        <c:grouping val="standard"/>
        <c:varyColors val="0"/>
        <c:ser>
          <c:idx val="0"/>
          <c:order val="0"/>
          <c:tx>
            <c:strRef>
              <c:f>'объем предложения'!$A$3</c:f>
              <c:strCache>
                <c:ptCount val="1"/>
                <c:pt idx="0">
                  <c:v>Объем предложения</c:v>
                </c:pt>
              </c:strCache>
            </c:strRef>
          </c:tx>
          <c:spPr>
            <a:ln w="19050">
              <a:prstDash val="sysDash"/>
            </a:ln>
          </c:spPr>
          <c:marker>
            <c:symbol val="circle"/>
            <c:size val="6"/>
          </c:marker>
          <c:cat>
            <c:strRef>
              <c:f>'объем предложения'!$I$2:$R$2</c:f>
              <c:strCache>
                <c:ptCount val="10"/>
                <c:pt idx="0">
                  <c:v>1 кв.2014</c:v>
                </c:pt>
                <c:pt idx="1">
                  <c:v>2 кв.2014</c:v>
                </c:pt>
                <c:pt idx="2">
                  <c:v>3 кв.2014</c:v>
                </c:pt>
                <c:pt idx="3">
                  <c:v>4 кв.2014</c:v>
                </c:pt>
                <c:pt idx="4">
                  <c:v>1 кв.2015</c:v>
                </c:pt>
                <c:pt idx="5">
                  <c:v>2 кв.2015</c:v>
                </c:pt>
                <c:pt idx="6">
                  <c:v>3 кв.2015</c:v>
                </c:pt>
                <c:pt idx="7">
                  <c:v>4 кв.2015</c:v>
                </c:pt>
                <c:pt idx="8">
                  <c:v>1 кв.2016</c:v>
                </c:pt>
                <c:pt idx="9">
                  <c:v>2 кв.2016</c:v>
                </c:pt>
              </c:strCache>
            </c:strRef>
          </c:cat>
          <c:val>
            <c:numRef>
              <c:f>'объем предложения'!$I$4:$R$4</c:f>
              <c:numCache>
                <c:formatCode>0</c:formatCode>
                <c:ptCount val="10"/>
                <c:pt idx="0">
                  <c:v>100</c:v>
                </c:pt>
                <c:pt idx="1">
                  <c:v>115.77964519140991</c:v>
                </c:pt>
                <c:pt idx="2">
                  <c:v>122.64757754953834</c:v>
                </c:pt>
                <c:pt idx="3">
                  <c:v>116.97271501193069</c:v>
                </c:pt>
                <c:pt idx="4">
                  <c:v>131.28955285818031</c:v>
                </c:pt>
                <c:pt idx="5">
                  <c:v>150.67953107168793</c:v>
                </c:pt>
                <c:pt idx="6">
                  <c:v>160.51457620085071</c:v>
                </c:pt>
                <c:pt idx="7">
                  <c:v>161.69727150119306</c:v>
                </c:pt>
                <c:pt idx="8">
                  <c:v>164.25977798526819</c:v>
                </c:pt>
                <c:pt idx="9">
                  <c:v>168.35771345575267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9CFD-49B7-8614-FD0F6B6F1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3695392"/>
        <c:axId val="443694216"/>
      </c:lineChart>
      <c:catAx>
        <c:axId val="44369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1320000" vert="horz"/>
          <a:lstStyle/>
          <a:p>
            <a:pPr>
              <a:defRPr sz="900" b="0">
                <a:latin typeface="+mn-lt"/>
                <a:cs typeface="Arial" pitchFamily="34" charset="0"/>
              </a:defRPr>
            </a:pPr>
            <a:endParaRPr lang="ru-RU"/>
          </a:p>
        </c:txPr>
        <c:crossAx val="443694216"/>
        <c:crosses val="autoZero"/>
        <c:auto val="1"/>
        <c:lblAlgn val="ctr"/>
        <c:lblOffset val="100"/>
        <c:noMultiLvlLbl val="0"/>
      </c:catAx>
      <c:valAx>
        <c:axId val="443694216"/>
        <c:scaling>
          <c:orientation val="minMax"/>
          <c:max val="250"/>
          <c:min val="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Arial" pitchFamily="34" charset="0"/>
              </a:defRPr>
            </a:pPr>
            <a:endParaRPr lang="ru-RU"/>
          </a:p>
        </c:txPr>
        <c:crossAx val="443695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удельной цены предложения коттеджей, руб./кв.м.</a:t>
            </a:r>
          </a:p>
        </c:rich>
      </c:tx>
      <c:layout>
        <c:manualLayout>
          <c:xMode val="edge"/>
          <c:yMode val="edge"/>
          <c:x val="0.17591078407775448"/>
          <c:y val="4.859058045253641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коттеджи!$A$39</c:f>
              <c:strCache>
                <c:ptCount val="1"/>
                <c:pt idx="0">
                  <c:v>Удельная цена предложения коттеджей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94-43CB-B18B-50703911C491}"/>
                </c:ext>
              </c:extLst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94-43CB-B18B-50703911C491}"/>
                </c:ext>
              </c:extLst>
            </c:dLbl>
            <c:dLbl>
              <c:idx val="5"/>
              <c:layout>
                <c:manualLayout>
                  <c:x val="-9.920634920635045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94-43CB-B18B-50703911C491}"/>
                </c:ext>
              </c:extLst>
            </c:dLbl>
            <c:dLbl>
              <c:idx val="6"/>
              <c:layout>
                <c:manualLayout>
                  <c:x val="-1.9841269841270061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94-43CB-B18B-50703911C4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+mn-lt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коттеджи!$F$40:$K$40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коттеджи!$F$41:$K$41</c:f>
              <c:numCache>
                <c:formatCode>General</c:formatCode>
                <c:ptCount val="6"/>
                <c:pt idx="0">
                  <c:v>42413</c:v>
                </c:pt>
                <c:pt idx="1">
                  <c:v>42356</c:v>
                </c:pt>
                <c:pt idx="2">
                  <c:v>42504</c:v>
                </c:pt>
                <c:pt idx="3">
                  <c:v>42202</c:v>
                </c:pt>
                <c:pt idx="4">
                  <c:v>41649</c:v>
                </c:pt>
                <c:pt idx="5">
                  <c:v>41757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4-43CB-B18B-50703911C4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4"/>
        <c:axId val="442770584"/>
        <c:axId val="442777640"/>
      </c:barChart>
      <c:catAx>
        <c:axId val="442770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900">
                <a:latin typeface="+mn-lt"/>
                <a:cs typeface="Arial" pitchFamily="34" charset="0"/>
              </a:defRPr>
            </a:pPr>
            <a:endParaRPr lang="ru-RU"/>
          </a:p>
        </c:txPr>
        <c:crossAx val="442777640"/>
        <c:crosses val="autoZero"/>
        <c:auto val="1"/>
        <c:lblAlgn val="ctr"/>
        <c:lblOffset val="100"/>
        <c:noMultiLvlLbl val="0"/>
      </c:catAx>
      <c:valAx>
        <c:axId val="442777640"/>
        <c:scaling>
          <c:orientation val="minMax"/>
          <c:max val="600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Arial" pitchFamily="34" charset="0"/>
              </a:defRPr>
            </a:pPr>
            <a:endParaRPr lang="ru-RU"/>
          </a:p>
        </c:txPr>
        <c:crossAx val="4427705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таунхаусов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9504885742493197"/>
          <c:y val="1.238390495401703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810564941518233"/>
          <c:y val="0.36783614548181481"/>
          <c:w val="0.4221656787283613"/>
          <c:h val="0.58524525555801254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8D-436E-BC77-FD0D0B4F3478}"/>
                </c:ext>
              </c:extLst>
            </c:dLbl>
            <c:dLbl>
              <c:idx val="1"/>
              <c:layout>
                <c:manualLayout>
                  <c:x val="-0.11730771268270365"/>
                  <c:y val="-3.64109558229382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8D-436E-BC77-FD0D0B4F3478}"/>
                </c:ext>
              </c:extLst>
            </c:dLbl>
            <c:dLbl>
              <c:idx val="2"/>
              <c:layout>
                <c:manualLayout>
                  <c:x val="-0.11430527036276524"/>
                  <c:y val="0.195750411198600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68D-436E-BC77-FD0D0B4F3478}"/>
                </c:ext>
              </c:extLst>
            </c:dLbl>
            <c:dLbl>
              <c:idx val="3"/>
              <c:layout>
                <c:manualLayout>
                  <c:x val="-0.15184918107002779"/>
                  <c:y val="0.1514143132108489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8D-436E-BC77-FD0D0B4F3478}"/>
                </c:ext>
              </c:extLst>
            </c:dLbl>
            <c:dLbl>
              <c:idx val="4"/>
              <c:layout>
                <c:manualLayout>
                  <c:x val="-0.17740944939511927"/>
                  <c:y val="-7.905871921169472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8D-436E-BC77-FD0D0B4F3478}"/>
                </c:ext>
              </c:extLst>
            </c:dLbl>
            <c:dLbl>
              <c:idx val="5"/>
              <c:layout>
                <c:manualLayout>
                  <c:x val="-0.17722721700529648"/>
                  <c:y val="-0.1328383455102999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8D-436E-BC77-FD0D0B4F3478}"/>
                </c:ext>
              </c:extLst>
            </c:dLbl>
            <c:dLbl>
              <c:idx val="6"/>
              <c:layout>
                <c:manualLayout>
                  <c:x val="5.5217318018733934E-3"/>
                  <c:y val="-0.1887095841023184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68D-436E-BC77-FD0D0B4F3478}"/>
                </c:ext>
              </c:extLst>
            </c:dLbl>
            <c:dLbl>
              <c:idx val="7"/>
              <c:layout>
                <c:manualLayout>
                  <c:x val="0.12862481639336368"/>
                  <c:y val="-0.1011017449929701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8D-436E-BC77-FD0D0B4F3478}"/>
                </c:ext>
              </c:extLst>
            </c:dLbl>
            <c:dLbl>
              <c:idx val="8"/>
              <c:layout>
                <c:manualLayout>
                  <c:x val="0.31755835382451564"/>
                  <c:y val="-5.830186434651013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68D-436E-BC77-FD0D0B4F3478}"/>
                </c:ext>
              </c:extLst>
            </c:dLbl>
            <c:spPr>
              <a:ln>
                <a:solidFill>
                  <a:sysClr val="window" lastClr="FFFFFF">
                    <a:lumMod val="85000"/>
                  </a:sys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таунхаусы!$B$3:$B$11</c:f>
              <c:numCache>
                <c:formatCode>General</c:formatCode>
                <c:ptCount val="9"/>
                <c:pt idx="0">
                  <c:v>53</c:v>
                </c:pt>
                <c:pt idx="1">
                  <c:v>55</c:v>
                </c:pt>
                <c:pt idx="2">
                  <c:v>16</c:v>
                </c:pt>
                <c:pt idx="3">
                  <c:v>3</c:v>
                </c:pt>
                <c:pt idx="4">
                  <c:v>3</c:v>
                </c:pt>
                <c:pt idx="5">
                  <c:v>5</c:v>
                </c:pt>
                <c:pt idx="6">
                  <c:v>6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68D-436E-BC77-FD0D0B4F347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удельной цены предложения таунхаусов, руб./кв.м.</a:t>
            </a:r>
          </a:p>
        </c:rich>
      </c:tx>
      <c:layout>
        <c:manualLayout>
          <c:xMode val="edge"/>
          <c:yMode val="edge"/>
          <c:x val="0.19046682483466859"/>
          <c:y val="4.859058045253641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таунхаусы!$A$42</c:f>
              <c:strCache>
                <c:ptCount val="1"/>
                <c:pt idx="0">
                  <c:v>Удельная цена предложения таунхаусов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76-4C7F-9A4F-C367C701724B}"/>
                </c:ext>
              </c:extLst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76-4C7F-9A4F-C367C701724B}"/>
                </c:ext>
              </c:extLst>
            </c:dLbl>
            <c:dLbl>
              <c:idx val="5"/>
              <c:layout>
                <c:manualLayout>
                  <c:x val="-9.920634920635038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76-4C7F-9A4F-C367C701724B}"/>
                </c:ext>
              </c:extLst>
            </c:dLbl>
            <c:dLbl>
              <c:idx val="6"/>
              <c:layout>
                <c:manualLayout>
                  <c:x val="-1.9841269841270053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76-4C7F-9A4F-C367C70172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таунхаусы!$H$43:$M$43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таунхаусы!$H$44:$M$44</c:f>
              <c:numCache>
                <c:formatCode>General</c:formatCode>
                <c:ptCount val="6"/>
                <c:pt idx="0">
                  <c:v>43904</c:v>
                </c:pt>
                <c:pt idx="1">
                  <c:v>47568</c:v>
                </c:pt>
                <c:pt idx="2">
                  <c:v>49045</c:v>
                </c:pt>
                <c:pt idx="3">
                  <c:v>45775</c:v>
                </c:pt>
                <c:pt idx="4">
                  <c:v>45676</c:v>
                </c:pt>
                <c:pt idx="5">
                  <c:v>44413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76-4C7F-9A4F-C367C7017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6"/>
        <c:axId val="443698136"/>
        <c:axId val="443691472"/>
      </c:barChart>
      <c:catAx>
        <c:axId val="4436981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43691472"/>
        <c:crosses val="autoZero"/>
        <c:auto val="1"/>
        <c:lblAlgn val="ctr"/>
        <c:lblOffset val="100"/>
        <c:noMultiLvlLbl val="0"/>
      </c:catAx>
      <c:valAx>
        <c:axId val="443691472"/>
        <c:scaling>
          <c:orientation val="minMax"/>
          <c:max val="700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Arial" pitchFamily="34" charset="0"/>
              </a:defRPr>
            </a:pPr>
            <a:endParaRPr lang="ru-RU"/>
          </a:p>
        </c:txPr>
        <c:crossAx val="443698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100">
                <a:latin typeface="+mn-lt"/>
                <a:cs typeface="Arial" pitchFamily="34" charset="0"/>
              </a:defRPr>
            </a:pPr>
            <a:r>
              <a:rPr lang="ru-RU" sz="1100">
                <a:latin typeface="+mn-lt"/>
                <a:cs typeface="Arial" pitchFamily="34" charset="0"/>
              </a:rPr>
              <a:t>Структура предложения  по типам</a:t>
            </a:r>
          </a:p>
          <a:p>
            <a:pPr>
              <a:defRPr sz="1100">
                <a:latin typeface="+mn-lt"/>
                <a:cs typeface="Arial" pitchFamily="34" charset="0"/>
              </a:defRPr>
            </a:pPr>
            <a:r>
              <a:rPr lang="ru-RU" sz="1100">
                <a:latin typeface="+mn-lt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2495140551850723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750563532499615"/>
          <c:y val="0.20779364648384469"/>
          <c:w val="0.52020503319438016"/>
          <c:h val="0.60989555615892854"/>
        </c:manualLayout>
      </c:layout>
      <c:pieChart>
        <c:varyColors val="1"/>
        <c:ser>
          <c:idx val="1"/>
          <c:order val="0"/>
          <c:dLbls>
            <c:dLbl>
              <c:idx val="0"/>
              <c:layout>
                <c:manualLayout>
                  <c:x val="1.3338154954075837E-2"/>
                  <c:y val="-1.367001538600786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1D-4A58-8222-0AB59084DCDB}"/>
                </c:ext>
              </c:extLst>
            </c:dLbl>
            <c:dLbl>
              <c:idx val="1"/>
              <c:layout>
                <c:manualLayout>
                  <c:x val="-8.1194688899181716E-2"/>
                  <c:y val="-3.05004977826046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1D-4A58-8222-0AB59084DCDB}"/>
                </c:ext>
              </c:extLst>
            </c:dLbl>
            <c:dLbl>
              <c:idx val="2"/>
              <c:layout>
                <c:manualLayout>
                  <c:x val="-0.10817538984097576"/>
                  <c:y val="0.1079927595257489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1D-4A58-8222-0AB59084DCDB}"/>
                </c:ext>
              </c:extLst>
            </c:dLbl>
            <c:dLbl>
              <c:idx val="3"/>
              <c:layout>
                <c:manualLayout>
                  <c:x val="-0.16831949188367554"/>
                  <c:y val="7.32366730020816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1D-4A58-8222-0AB59084DCDB}"/>
                </c:ext>
              </c:extLst>
            </c:dLbl>
            <c:dLbl>
              <c:idx val="4"/>
              <c:layout>
                <c:manualLayout>
                  <c:x val="0.31327407236843607"/>
                  <c:y val="4.63951488822517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1D-4A58-8222-0AB59084DC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'свод, общ'!$A$19:$A$23</c:f>
              <c:strCache>
                <c:ptCount val="5"/>
                <c:pt idx="0">
                  <c:v>земельные участки</c:v>
                </c:pt>
                <c:pt idx="1">
                  <c:v>дома</c:v>
                </c:pt>
                <c:pt idx="2">
                  <c:v>дачи</c:v>
                </c:pt>
                <c:pt idx="3">
                  <c:v>коттеджи</c:v>
                </c:pt>
                <c:pt idx="4">
                  <c:v>таунхаусы</c:v>
                </c:pt>
              </c:strCache>
            </c:strRef>
          </c:cat>
          <c:val>
            <c:numRef>
              <c:f>'свод, общ'!$B$19:$B$23</c:f>
              <c:numCache>
                <c:formatCode>General</c:formatCode>
                <c:ptCount val="5"/>
                <c:pt idx="0">
                  <c:v>8344</c:v>
                </c:pt>
                <c:pt idx="1">
                  <c:v>3714</c:v>
                </c:pt>
                <c:pt idx="2">
                  <c:v>2618</c:v>
                </c:pt>
                <c:pt idx="3">
                  <c:v>1407</c:v>
                </c:pt>
                <c:pt idx="4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81D-4A58-8222-0AB59084DCD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100">
                <a:latin typeface="+mn-lt"/>
                <a:cs typeface="Arial" pitchFamily="34" charset="0"/>
              </a:defRPr>
            </a:pPr>
            <a:r>
              <a:rPr lang="ru-RU" sz="1100">
                <a:latin typeface="+mn-lt"/>
                <a:cs typeface="Arial" pitchFamily="34" charset="0"/>
              </a:rPr>
              <a:t>Структура предложения земельных участков по направлениям</a:t>
            </a:r>
          </a:p>
          <a:p>
            <a:pPr>
              <a:defRPr sz="1100">
                <a:latin typeface="+mn-lt"/>
                <a:cs typeface="Arial" pitchFamily="34" charset="0"/>
              </a:defRPr>
            </a:pPr>
            <a:r>
              <a:rPr lang="ru-RU" sz="1100">
                <a:latin typeface="+mn-lt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82816441522791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46095017939273"/>
          <c:y val="0.29353267628212432"/>
          <c:w val="0.34768301668713436"/>
          <c:h val="0.55405626928212925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AD-48DC-8A9A-91991B2A0D02}"/>
                </c:ext>
              </c:extLst>
            </c:dLbl>
            <c:dLbl>
              <c:idx val="1"/>
              <c:layout>
                <c:manualLayout>
                  <c:x val="8.3304100748875079E-2"/>
                  <c:y val="0.1163238719432727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AD-48DC-8A9A-91991B2A0D02}"/>
                </c:ext>
              </c:extLst>
            </c:dLbl>
            <c:dLbl>
              <c:idx val="2"/>
              <c:layout>
                <c:manualLayout>
                  <c:x val="4.2269642900142082E-2"/>
                  <c:y val="6.77835150397818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AD-48DC-8A9A-91991B2A0D02}"/>
                </c:ext>
              </c:extLst>
            </c:dLbl>
            <c:dLbl>
              <c:idx val="3"/>
              <c:layout>
                <c:manualLayout>
                  <c:x val="5.8548387873534162E-2"/>
                  <c:y val="3.394620119652574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AD-48DC-8A9A-91991B2A0D02}"/>
                </c:ext>
              </c:extLst>
            </c:dLbl>
            <c:dLbl>
              <c:idx val="4"/>
              <c:layout>
                <c:manualLayout>
                  <c:x val="-0.13581930699029732"/>
                  <c:y val="-1.616180855718094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AD-48DC-8A9A-91991B2A0D02}"/>
                </c:ext>
              </c:extLst>
            </c:dLbl>
            <c:dLbl>
              <c:idx val="5"/>
              <c:layout>
                <c:manualLayout>
                  <c:x val="-3.7777745671699767E-2"/>
                  <c:y val="1.164054561990079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AD-48DC-8A9A-91991B2A0D02}"/>
                </c:ext>
              </c:extLst>
            </c:dLbl>
            <c:dLbl>
              <c:idx val="6"/>
              <c:layout>
                <c:manualLayout>
                  <c:x val="-9.2337595415251994E-2"/>
                  <c:y val="-4.83586612901235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AD-48DC-8A9A-91991B2A0D02}"/>
                </c:ext>
              </c:extLst>
            </c:dLbl>
            <c:dLbl>
              <c:idx val="7"/>
              <c:layout>
                <c:manualLayout>
                  <c:x val="-0.17718567747838837"/>
                  <c:y val="-8.87178400389533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AD-48DC-8A9A-91991B2A0D02}"/>
                </c:ext>
              </c:extLst>
            </c:dLbl>
            <c:dLbl>
              <c:idx val="8"/>
              <c:layout>
                <c:manualLayout>
                  <c:x val="9.982132967324038E-2"/>
                  <c:y val="-4.710986961470780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AD-48DC-8A9A-91991B2A0D02}"/>
                </c:ext>
              </c:extLst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+mn-lt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земля!$A$18:$A$26</c:f>
              <c:strCache>
                <c:ptCount val="9"/>
                <c:pt idx="0">
                  <c:v>Салаирский тракт</c:v>
                </c:pt>
                <c:pt idx="1">
                  <c:v>Московский тракт</c:v>
                </c:pt>
                <c:pt idx="2">
                  <c:v>Велижанский тракт</c:v>
                </c:pt>
                <c:pt idx="3">
                  <c:v>Ирбитский тракт</c:v>
                </c:pt>
                <c:pt idx="4">
                  <c:v>Старый Тобольский тракт</c:v>
                </c:pt>
                <c:pt idx="5">
                  <c:v>Ялуторовский тракт</c:v>
                </c:pt>
                <c:pt idx="6">
                  <c:v>Тюмень</c:v>
                </c:pt>
                <c:pt idx="7">
                  <c:v>Тобольский тракт</c:v>
                </c:pt>
                <c:pt idx="8">
                  <c:v>Червишевский тракт</c:v>
                </c:pt>
              </c:strCache>
            </c:strRef>
          </c:cat>
          <c:val>
            <c:numRef>
              <c:f>земля!$B$18:$B$26</c:f>
              <c:numCache>
                <c:formatCode>General</c:formatCode>
                <c:ptCount val="9"/>
                <c:pt idx="0">
                  <c:v>1460</c:v>
                </c:pt>
                <c:pt idx="1">
                  <c:v>1405</c:v>
                </c:pt>
                <c:pt idx="2">
                  <c:v>1151</c:v>
                </c:pt>
                <c:pt idx="3">
                  <c:v>1038</c:v>
                </c:pt>
                <c:pt idx="4">
                  <c:v>777</c:v>
                </c:pt>
                <c:pt idx="5">
                  <c:v>607</c:v>
                </c:pt>
                <c:pt idx="6">
                  <c:v>1042</c:v>
                </c:pt>
                <c:pt idx="7">
                  <c:v>448</c:v>
                </c:pt>
                <c:pt idx="8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DAD-48DC-8A9A-91991B2A0D0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100">
                <a:latin typeface="+mn-lt"/>
                <a:cs typeface="Arial" pitchFamily="34" charset="0"/>
              </a:defRPr>
            </a:pPr>
            <a:r>
              <a:rPr lang="ru-RU" sz="1100">
                <a:latin typeface="+mn-lt"/>
                <a:cs typeface="Arial" pitchFamily="34" charset="0"/>
              </a:rPr>
              <a:t>Динамика удельной цены предложения земельных участков, руб./сот.</a:t>
            </a:r>
          </a:p>
        </c:rich>
      </c:tx>
      <c:layout>
        <c:manualLayout>
          <c:xMode val="edge"/>
          <c:yMode val="edge"/>
          <c:x val="0.1362925761842412"/>
          <c:y val="1.0509738914214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149260638016712E-2"/>
          <c:y val="0.1550756794378339"/>
          <c:w val="0.91420357479469649"/>
          <c:h val="0.6689135579364055"/>
        </c:manualLayout>
      </c:layout>
      <c:lineChart>
        <c:grouping val="standard"/>
        <c:varyColors val="0"/>
        <c:ser>
          <c:idx val="0"/>
          <c:order val="0"/>
          <c:spPr>
            <a:ln w="22225"/>
          </c:spPr>
          <c:marker>
            <c:symbol val="circle"/>
            <c:size val="7"/>
          </c:marke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+mn-lt"/>
                    <a:cs typeface="Arial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земля!$K$2:$T$2</c:f>
              <c:strCache>
                <c:ptCount val="10"/>
                <c:pt idx="0">
                  <c:v>1 кв.2014</c:v>
                </c:pt>
                <c:pt idx="1">
                  <c:v>2 кв.2014</c:v>
                </c:pt>
                <c:pt idx="2">
                  <c:v>3 кв.2014</c:v>
                </c:pt>
                <c:pt idx="3">
                  <c:v>4 кв.2014</c:v>
                </c:pt>
                <c:pt idx="4">
                  <c:v>1 кв.2015</c:v>
                </c:pt>
                <c:pt idx="5">
                  <c:v>2 кв.2015</c:v>
                </c:pt>
                <c:pt idx="6">
                  <c:v>3 кв.2015</c:v>
                </c:pt>
                <c:pt idx="7">
                  <c:v>4 кв.2015</c:v>
                </c:pt>
                <c:pt idx="8">
                  <c:v>1 кв.2016</c:v>
                </c:pt>
                <c:pt idx="9">
                  <c:v>2 кв.2016</c:v>
                </c:pt>
              </c:strCache>
            </c:strRef>
          </c:cat>
          <c:val>
            <c:numRef>
              <c:f>земля!$K$3:$T$3</c:f>
              <c:numCache>
                <c:formatCode>General</c:formatCode>
                <c:ptCount val="10"/>
                <c:pt idx="0">
                  <c:v>86791</c:v>
                </c:pt>
                <c:pt idx="1">
                  <c:v>86611</c:v>
                </c:pt>
                <c:pt idx="2">
                  <c:v>85588</c:v>
                </c:pt>
                <c:pt idx="3">
                  <c:v>83942</c:v>
                </c:pt>
                <c:pt idx="4">
                  <c:v>81984</c:v>
                </c:pt>
                <c:pt idx="5">
                  <c:v>77676</c:v>
                </c:pt>
                <c:pt idx="6">
                  <c:v>77284</c:v>
                </c:pt>
                <c:pt idx="7">
                  <c:v>75204</c:v>
                </c:pt>
                <c:pt idx="8">
                  <c:v>74093</c:v>
                </c:pt>
                <c:pt idx="9">
                  <c:v>71799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A1F-42A2-8389-D6068F59CA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1430552"/>
        <c:axId val="431429376"/>
      </c:lineChart>
      <c:catAx>
        <c:axId val="431430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1500000"/>
          <a:lstStyle/>
          <a:p>
            <a:pPr>
              <a:defRPr sz="900">
                <a:latin typeface="+mn-lt"/>
                <a:cs typeface="Arial" pitchFamily="34" charset="0"/>
              </a:defRPr>
            </a:pPr>
            <a:endParaRPr lang="ru-RU"/>
          </a:p>
        </c:txPr>
        <c:crossAx val="431429376"/>
        <c:crosses val="autoZero"/>
        <c:auto val="1"/>
        <c:lblAlgn val="ctr"/>
        <c:lblOffset val="100"/>
        <c:noMultiLvlLbl val="0"/>
      </c:catAx>
      <c:valAx>
        <c:axId val="431429376"/>
        <c:scaling>
          <c:orientation val="minMax"/>
          <c:max val="110000"/>
          <c:min val="50000"/>
        </c:scaling>
        <c:delete val="1"/>
        <c:axPos val="l"/>
        <c:numFmt formatCode="General" sourceLinked="1"/>
        <c:majorTickMark val="out"/>
        <c:minorTickMark val="none"/>
        <c:tickLblPos val="nextTo"/>
        <c:crossAx val="4314305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домов по направлениям</a:t>
            </a:r>
          </a:p>
          <a:p>
            <a:pPr>
              <a:defRPr sz="1100"/>
            </a:pPr>
            <a:r>
              <a:rPr lang="ru-RU" sz="1100"/>
              <a:t>
</a:t>
            </a:r>
          </a:p>
        </c:rich>
      </c:tx>
      <c:layout>
        <c:manualLayout>
          <c:xMode val="edge"/>
          <c:yMode val="edge"/>
          <c:x val="0.2023883069662163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417231332322366"/>
          <c:y val="0.23161315151204048"/>
          <c:w val="0.4221656787283613"/>
          <c:h val="0.58524525555801321"/>
        </c:manualLayout>
      </c:layout>
      <c:pie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0.11649941005080787"/>
                  <c:y val="0.145732558358745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7E-4D12-A83B-83F20DCF893D}"/>
                </c:ext>
              </c:extLst>
            </c:dLbl>
            <c:dLbl>
              <c:idx val="1"/>
              <c:layout>
                <c:manualLayout>
                  <c:x val="9.7982999831443082E-2"/>
                  <c:y val="0.1245798085792835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7E-4D12-A83B-83F20DCF893D}"/>
                </c:ext>
              </c:extLst>
            </c:dLbl>
            <c:dLbl>
              <c:idx val="2"/>
              <c:layout>
                <c:manualLayout>
                  <c:x val="-5.5589684316983433E-2"/>
                  <c:y val="2.24789002312312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7E-4D12-A83B-83F20DCF893D}"/>
                </c:ext>
              </c:extLst>
            </c:dLbl>
            <c:dLbl>
              <c:idx val="3"/>
              <c:layout>
                <c:manualLayout>
                  <c:x val="-0.15184916564328541"/>
                  <c:y val="3.31053307997792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7E-4D12-A83B-83F20DCF893D}"/>
                </c:ext>
              </c:extLst>
            </c:dLbl>
            <c:dLbl>
              <c:idx val="4"/>
              <c:layout>
                <c:manualLayout>
                  <c:x val="-0.17740944939511952"/>
                  <c:y val="-7.905871921169472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7E-4D12-A83B-83F20DCF893D}"/>
                </c:ext>
              </c:extLst>
            </c:dLbl>
            <c:dLbl>
              <c:idx val="5"/>
              <c:layout>
                <c:manualLayout>
                  <c:x val="-0.10007695827012462"/>
                  <c:y val="-4.871327652122204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7E-4D12-A83B-83F20DCF893D}"/>
                </c:ext>
              </c:extLst>
            </c:dLbl>
            <c:dLbl>
              <c:idx val="6"/>
              <c:layout>
                <c:manualLayout>
                  <c:x val="-0.15839264128681171"/>
                  <c:y val="-2.77188197000950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7E-4D12-A83B-83F20DCF893D}"/>
                </c:ext>
              </c:extLst>
            </c:dLbl>
            <c:dLbl>
              <c:idx val="7"/>
              <c:layout>
                <c:manualLayout>
                  <c:x val="3.8105035035758142E-2"/>
                  <c:y val="-5.982206181291350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7E-4D12-A83B-83F20DCF893D}"/>
                </c:ext>
              </c:extLst>
            </c:dLbl>
            <c:dLbl>
              <c:idx val="8"/>
              <c:layout>
                <c:manualLayout>
                  <c:x val="0.31755835382451614"/>
                  <c:y val="-5.830186434651013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7E-4D12-A83B-83F20DCF893D}"/>
                </c:ext>
              </c:extLst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дома!$B$3:$B$11</c:f>
              <c:numCache>
                <c:formatCode>General</c:formatCode>
                <c:ptCount val="9"/>
                <c:pt idx="0">
                  <c:v>1013</c:v>
                </c:pt>
                <c:pt idx="1">
                  <c:v>483</c:v>
                </c:pt>
                <c:pt idx="2">
                  <c:v>417</c:v>
                </c:pt>
                <c:pt idx="3">
                  <c:v>356</c:v>
                </c:pt>
                <c:pt idx="4">
                  <c:v>298</c:v>
                </c:pt>
                <c:pt idx="5">
                  <c:v>458</c:v>
                </c:pt>
                <c:pt idx="6">
                  <c:v>253</c:v>
                </c:pt>
                <c:pt idx="7">
                  <c:v>247</c:v>
                </c:pt>
                <c:pt idx="8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E7E-4D12-A83B-83F20DCF893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100">
                <a:latin typeface="+mn-lt"/>
                <a:cs typeface="Arial" pitchFamily="34" charset="0"/>
              </a:defRPr>
            </a:pPr>
            <a:r>
              <a:rPr lang="ru-RU" sz="1100">
                <a:latin typeface="+mn-lt"/>
                <a:cs typeface="Arial" pitchFamily="34" charset="0"/>
              </a:rPr>
              <a:t>Динамика удельной цены предложения домов, руб./кв.м.</a:t>
            </a:r>
          </a:p>
        </c:rich>
      </c:tx>
      <c:layout>
        <c:manualLayout>
          <c:xMode val="edge"/>
          <c:yMode val="edge"/>
          <c:x val="0.18173320038052013"/>
          <c:y val="5.44253529647084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дома!$A$37</c:f>
              <c:strCache>
                <c:ptCount val="1"/>
                <c:pt idx="0">
                  <c:v>Удельная цена предложения домов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AD-4A52-843A-7DE40DA340A6}"/>
                </c:ext>
              </c:extLst>
            </c:dLbl>
            <c:dLbl>
              <c:idx val="4"/>
              <c:layout>
                <c:manualLayout>
                  <c:x val="-7.9365952618368121E-3"/>
                  <c:y val="-4.460966542750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AD-4A52-843A-7DE40DA340A6}"/>
                </c:ext>
              </c:extLst>
            </c:dLbl>
            <c:dLbl>
              <c:idx val="5"/>
              <c:layout>
                <c:manualLayout>
                  <c:x val="-9.9206349206350571E-3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AD-4A52-843A-7DE40DA340A6}"/>
                </c:ext>
              </c:extLst>
            </c:dLbl>
            <c:dLbl>
              <c:idx val="6"/>
              <c:layout>
                <c:manualLayout>
                  <c:x val="-1.9841269841270079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AD-4A52-843A-7DE40DA340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дома!$F$38:$K$38</c:f>
              <c:strCache>
                <c:ptCount val="6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</c:strCache>
            </c:strRef>
          </c:cat>
          <c:val>
            <c:numRef>
              <c:f>дома!$F$39:$K$39</c:f>
              <c:numCache>
                <c:formatCode>General</c:formatCode>
                <c:ptCount val="6"/>
                <c:pt idx="0">
                  <c:v>36845</c:v>
                </c:pt>
                <c:pt idx="1">
                  <c:v>35701</c:v>
                </c:pt>
                <c:pt idx="2">
                  <c:v>35337</c:v>
                </c:pt>
                <c:pt idx="3">
                  <c:v>34939</c:v>
                </c:pt>
                <c:pt idx="4">
                  <c:v>28062</c:v>
                </c:pt>
                <c:pt idx="5">
                  <c:v>33210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AD-4A52-843A-7DE40DA340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-4"/>
        <c:axId val="442490520"/>
        <c:axId val="442494832"/>
      </c:barChart>
      <c:catAx>
        <c:axId val="442490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42494832"/>
        <c:crosses val="autoZero"/>
        <c:auto val="1"/>
        <c:lblAlgn val="ctr"/>
        <c:lblOffset val="100"/>
        <c:noMultiLvlLbl val="0"/>
      </c:catAx>
      <c:valAx>
        <c:axId val="442494832"/>
        <c:scaling>
          <c:orientation val="minMax"/>
          <c:max val="500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42490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дач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9015589106407568"/>
          <c:y val="1.65118732720228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810564941518233"/>
          <c:y val="0.36783614548181481"/>
          <c:w val="0.4221656787283613"/>
          <c:h val="0.58524525555801299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4F-4640-A32A-6458C500B992}"/>
                </c:ext>
              </c:extLst>
            </c:dLbl>
            <c:dLbl>
              <c:idx val="1"/>
              <c:layout>
                <c:manualLayout>
                  <c:x val="0.12244783163572434"/>
                  <c:y val="-0.1155831129041589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4F-4640-A32A-6458C500B992}"/>
                </c:ext>
              </c:extLst>
            </c:dLbl>
            <c:dLbl>
              <c:idx val="2"/>
              <c:layout>
                <c:manualLayout>
                  <c:x val="-0.15834197789496501"/>
                  <c:y val="-5.36635881340738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4F-4640-A32A-6458C500B992}"/>
                </c:ext>
              </c:extLst>
            </c:dLbl>
            <c:dLbl>
              <c:idx val="3"/>
              <c:layout>
                <c:manualLayout>
                  <c:x val="9.6187242649714653E-3"/>
                  <c:y val="2.992939548991859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4F-4640-A32A-6458C500B992}"/>
                </c:ext>
              </c:extLst>
            </c:dLbl>
            <c:dLbl>
              <c:idx val="4"/>
              <c:layout>
                <c:manualLayout>
                  <c:x val="-0.17496323051361698"/>
                  <c:y val="9.94213043469781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4F-4640-A32A-6458C500B992}"/>
                </c:ext>
              </c:extLst>
            </c:dLbl>
            <c:dLbl>
              <c:idx val="5"/>
              <c:layout>
                <c:manualLayout>
                  <c:x val="-0.18212025331695925"/>
                  <c:y val="4.87922604819519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4F-4640-A32A-6458C500B992}"/>
                </c:ext>
              </c:extLst>
            </c:dLbl>
            <c:dLbl>
              <c:idx val="6"/>
              <c:layout>
                <c:manualLayout>
                  <c:x val="-0.23668010306051188"/>
                  <c:y val="-6.89985028801517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4F-4640-A32A-6458C500B992}"/>
                </c:ext>
              </c:extLst>
            </c:dLbl>
            <c:dLbl>
              <c:idx val="7"/>
              <c:layout>
                <c:manualLayout>
                  <c:x val="-3.5289460377085934E-2"/>
                  <c:y val="-0.1547653331270432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4F-4640-A32A-6458C500B992}"/>
                </c:ext>
              </c:extLst>
            </c:dLbl>
            <c:dLbl>
              <c:idx val="8"/>
              <c:layout>
                <c:manualLayout>
                  <c:x val="0.22703826241903249"/>
                  <c:y val="-5.5365806250719143E-2"/>
                </c:manualLayout>
              </c:layout>
              <c:tx>
                <c:rich>
                  <a:bodyPr/>
                  <a:lstStyle/>
                  <a:p>
                    <a:fld id="{6EF73C3F-0BEE-403F-8666-2EB756288A71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0,4%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3A4F-4640-A32A-6458C500B992}"/>
                </c:ext>
              </c:extLst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дачи!$A$3:$A$11</c:f>
              <c:strCache>
                <c:ptCount val="9"/>
                <c:pt idx="0">
                  <c:v>Салаирский тракт</c:v>
                </c:pt>
                <c:pt idx="1">
                  <c:v>Велижанский тракт</c:v>
                </c:pt>
                <c:pt idx="2">
                  <c:v>Ялуторовский тракт</c:v>
                </c:pt>
                <c:pt idx="3">
                  <c:v>Московский тракт</c:v>
                </c:pt>
                <c:pt idx="4">
                  <c:v>Тобольский тракт</c:v>
                </c:pt>
                <c:pt idx="5">
                  <c:v>черта г.Тюмень</c:v>
                </c:pt>
                <c:pt idx="6">
                  <c:v>Червишевский тракт</c:v>
                </c:pt>
                <c:pt idx="7">
                  <c:v>Ирбитский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дачи!$B$3:$B$11</c:f>
              <c:numCache>
                <c:formatCode>General</c:formatCode>
                <c:ptCount val="9"/>
                <c:pt idx="0">
                  <c:v>742</c:v>
                </c:pt>
                <c:pt idx="1">
                  <c:v>542</c:v>
                </c:pt>
                <c:pt idx="2">
                  <c:v>479</c:v>
                </c:pt>
                <c:pt idx="3">
                  <c:v>391</c:v>
                </c:pt>
                <c:pt idx="4">
                  <c:v>180</c:v>
                </c:pt>
                <c:pt idx="5">
                  <c:v>184</c:v>
                </c:pt>
                <c:pt idx="6">
                  <c:v>77</c:v>
                </c:pt>
                <c:pt idx="7">
                  <c:v>13</c:v>
                </c:pt>
                <c:pt idx="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A4F-4640-A32A-6458C500B99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50">
                <a:latin typeface="+mn-lt"/>
                <a:cs typeface="Arial" pitchFamily="34" charset="0"/>
              </a:defRPr>
            </a:pPr>
            <a:r>
              <a:rPr lang="ru-RU" sz="1050">
                <a:latin typeface="+mn-lt"/>
                <a:cs typeface="Arial" pitchFamily="34" charset="0"/>
              </a:rPr>
              <a:t>Динамика средней цены дач в разрезе по трактам, тыс.руб.</a:t>
            </a:r>
          </a:p>
        </c:rich>
      </c:tx>
      <c:layout>
        <c:manualLayout>
          <c:xMode val="edge"/>
          <c:yMode val="edge"/>
          <c:x val="0.22091316710411199"/>
          <c:y val="1.6871682706328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918572678415196E-2"/>
          <c:y val="0.10789743192481922"/>
          <c:w val="0.86893435195600555"/>
          <c:h val="0.5793275007290756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дачи!$B$23</c:f>
              <c:strCache>
                <c:ptCount val="1"/>
                <c:pt idx="0">
                  <c:v>средняя полная цена, тыс.руб.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571428571428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75-41DB-BA25-6D9E77532F88}"/>
                </c:ext>
              </c:extLst>
            </c:dLbl>
            <c:dLbl>
              <c:idx val="1"/>
              <c:layout>
                <c:manualLayout>
                  <c:x val="1.9841269841270027E-3"/>
                  <c:y val="-1.6181225650122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75-41DB-BA25-6D9E77532F88}"/>
                </c:ext>
              </c:extLst>
            </c:dLbl>
            <c:dLbl>
              <c:idx val="2"/>
              <c:layout>
                <c:manualLayout>
                  <c:x val="5.9523809523809521E-3"/>
                  <c:y val="9.7087353900732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75-41DB-BA25-6D9E77532F88}"/>
                </c:ext>
              </c:extLst>
            </c:dLbl>
            <c:dLbl>
              <c:idx val="3"/>
              <c:layout>
                <c:manualLayout>
                  <c:x val="1.7857142857142856E-2"/>
                  <c:y val="9.7084805676221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75-41DB-BA25-6D9E77532F88}"/>
                </c:ext>
              </c:extLst>
            </c:dLbl>
            <c:dLbl>
              <c:idx val="4"/>
              <c:layout>
                <c:manualLayout>
                  <c:x val="7.93650793650794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75-41DB-BA25-6D9E77532F88}"/>
                </c:ext>
              </c:extLst>
            </c:dLbl>
            <c:dLbl>
              <c:idx val="5"/>
              <c:layout>
                <c:manualLayout>
                  <c:x val="1.19047619047619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75-41DB-BA25-6D9E77532F88}"/>
                </c:ext>
              </c:extLst>
            </c:dLbl>
            <c:dLbl>
              <c:idx val="6"/>
              <c:layout>
                <c:manualLayout>
                  <c:x val="9.92063492063502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75-41DB-BA25-6D9E77532F88}"/>
                </c:ext>
              </c:extLst>
            </c:dLbl>
            <c:dLbl>
              <c:idx val="7"/>
              <c:layout>
                <c:manualLayout>
                  <c:x val="1.7857142857142856E-2"/>
                  <c:y val="3.2362451300244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75-41DB-BA25-6D9E77532F88}"/>
                </c:ext>
              </c:extLst>
            </c:dLbl>
            <c:dLbl>
              <c:idx val="8"/>
              <c:layout>
                <c:manualLayout>
                  <c:x val="9.9206349206350242E-3"/>
                  <c:y val="-2.96652376632015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B75-41DB-BA25-6D9E77532F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дачи!$A$26:$A$32</c:f>
              <c:strCache>
                <c:ptCount val="7"/>
                <c:pt idx="0">
                  <c:v>Ялуторовский тракт</c:v>
                </c:pt>
                <c:pt idx="1">
                  <c:v>черта г.Тюмень</c:v>
                </c:pt>
                <c:pt idx="2">
                  <c:v>Салаирский тракт</c:v>
                </c:pt>
                <c:pt idx="3">
                  <c:v>Тобольский тракт</c:v>
                </c:pt>
                <c:pt idx="4">
                  <c:v>Червишевский тракт</c:v>
                </c:pt>
                <c:pt idx="5">
                  <c:v>Московский тракт</c:v>
                </c:pt>
                <c:pt idx="6">
                  <c:v>Велижанский тракт</c:v>
                </c:pt>
              </c:strCache>
            </c:strRef>
          </c:cat>
          <c:val>
            <c:numRef>
              <c:f>дачи!$B$26:$B$32</c:f>
              <c:numCache>
                <c:formatCode>0</c:formatCode>
                <c:ptCount val="7"/>
                <c:pt idx="0">
                  <c:v>1512.5831578947368</c:v>
                </c:pt>
                <c:pt idx="1">
                  <c:v>1444.467032967033</c:v>
                </c:pt>
                <c:pt idx="2">
                  <c:v>1289.4353741496598</c:v>
                </c:pt>
                <c:pt idx="3">
                  <c:v>1076.9050279329608</c:v>
                </c:pt>
                <c:pt idx="4">
                  <c:v>1397.987012987013</c:v>
                </c:pt>
                <c:pt idx="5">
                  <c:v>1219.4470284237725</c:v>
                </c:pt>
                <c:pt idx="6">
                  <c:v>950.14897579143394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B75-41DB-BA25-6D9E77532F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6"/>
        <c:axId val="442492872"/>
        <c:axId val="442494048"/>
      </c:barChart>
      <c:lineChart>
        <c:grouping val="standard"/>
        <c:varyColors val="0"/>
        <c:ser>
          <c:idx val="2"/>
          <c:order val="1"/>
          <c:tx>
            <c:strRef>
              <c:f>дачи!$M$24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prstDash val="dashDot"/>
            </a:ln>
          </c:spPr>
          <c:marker>
            <c:symbol val="circle"/>
            <c:size val="7"/>
            <c:spPr>
              <a:solidFill>
                <a:schemeClr val="accent3">
                  <a:lumMod val="60000"/>
                  <a:lumOff val="40000"/>
                </a:schemeClr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Старый Тобольский тракт</c:v>
                </c:pt>
                <c:pt idx="4">
                  <c:v>Ялуторовский тракт</c:v>
                </c:pt>
                <c:pt idx="5">
                  <c:v>Московский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дачи!$M$26:$M$32</c:f>
              <c:numCache>
                <c:formatCode>0.0</c:formatCode>
                <c:ptCount val="7"/>
                <c:pt idx="0">
                  <c:v>-1.8252164973136331</c:v>
                </c:pt>
                <c:pt idx="1">
                  <c:v>-3.129361036726678</c:v>
                </c:pt>
                <c:pt idx="2">
                  <c:v>-0.95890342497712311</c:v>
                </c:pt>
                <c:pt idx="3">
                  <c:v>-1.1492411177655271</c:v>
                </c:pt>
                <c:pt idx="4">
                  <c:v>2.1049553003296069</c:v>
                </c:pt>
                <c:pt idx="5">
                  <c:v>-4.2892805046313782</c:v>
                </c:pt>
                <c:pt idx="6">
                  <c:v>-1.0284521620384339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A-1B75-41DB-BA25-6D9E77532F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2772544"/>
        <c:axId val="442494440"/>
      </c:lineChart>
      <c:catAx>
        <c:axId val="442492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204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42494048"/>
        <c:crosses val="autoZero"/>
        <c:auto val="1"/>
        <c:lblAlgn val="ctr"/>
        <c:lblOffset val="100"/>
        <c:noMultiLvlLbl val="0"/>
      </c:catAx>
      <c:valAx>
        <c:axId val="442494048"/>
        <c:scaling>
          <c:orientation val="minMax"/>
          <c:max val="25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тыс.руб.</a:t>
                </a:r>
              </a:p>
            </c:rich>
          </c:tx>
          <c:layout>
            <c:manualLayout>
              <c:xMode val="edge"/>
              <c:yMode val="edge"/>
              <c:x val="4.7572178477690261E-4"/>
              <c:y val="3.1318168562263049E-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42492872"/>
        <c:crosses val="autoZero"/>
        <c:crossBetween val="between"/>
      </c:valAx>
      <c:valAx>
        <c:axId val="442494440"/>
        <c:scaling>
          <c:orientation val="minMax"/>
          <c:max val="20"/>
          <c:min val="-10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42772544"/>
        <c:crosses val="max"/>
        <c:crossBetween val="between"/>
      </c:valAx>
      <c:catAx>
        <c:axId val="442772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4249444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24262592175977987"/>
          <c:y val="0.90664129483814881"/>
          <c:w val="0.59261920384951872"/>
          <c:h val="8.5848935549723046E-2"/>
        </c:manualLayout>
      </c:layout>
      <c:overlay val="0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коттеджей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70584025620650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086956102964818"/>
          <c:y val="0.28527673964611283"/>
          <c:w val="0.4221656787283613"/>
          <c:h val="0.58524525555801277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7.2639777941426217E-2"/>
                  <c:y val="6.31722335286123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61-4E73-B858-5CA053A4AAD3}"/>
                </c:ext>
              </c:extLst>
            </c:dLbl>
            <c:dLbl>
              <c:idx val="1"/>
              <c:layout>
                <c:manualLayout>
                  <c:x val="0.1420196970791496"/>
                  <c:y val="-3.228298750493243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61-4E73-B858-5CA053A4AAD3}"/>
                </c:ext>
              </c:extLst>
            </c:dLbl>
            <c:dLbl>
              <c:idx val="2"/>
              <c:layout>
                <c:manualLayout>
                  <c:x val="-0.14121659563196806"/>
                  <c:y val="-1.23839049540170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61-4E73-B858-5CA053A4AAD3}"/>
                </c:ext>
              </c:extLst>
            </c:dLbl>
            <c:dLbl>
              <c:idx val="3"/>
              <c:layout>
                <c:manualLayout>
                  <c:x val="-0.22769014423655759"/>
                  <c:y val="-5.71213304149355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61-4E73-B858-5CA053A4AAD3}"/>
                </c:ext>
              </c:extLst>
            </c:dLbl>
            <c:dLbl>
              <c:idx val="4"/>
              <c:layout>
                <c:manualLayout>
                  <c:x val="-0.17740944939511938"/>
                  <c:y val="-7.905871921169472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61-4E73-B858-5CA053A4AAD3}"/>
                </c:ext>
              </c:extLst>
            </c:dLbl>
            <c:dLbl>
              <c:idx val="5"/>
              <c:layout>
                <c:manualLayout>
                  <c:x val="-0.16988783741481855"/>
                  <c:y val="-3.789507419616755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61-4E73-B858-5CA053A4AAD3}"/>
                </c:ext>
              </c:extLst>
            </c:dLbl>
            <c:dLbl>
              <c:idx val="6"/>
              <c:layout>
                <c:manualLayout>
                  <c:x val="-0.14860670856509944"/>
                  <c:y val="-0.1391739642862481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61-4E73-B858-5CA053A4AAD3}"/>
                </c:ext>
              </c:extLst>
            </c:dLbl>
            <c:dLbl>
              <c:idx val="7"/>
              <c:layout>
                <c:manualLayout>
                  <c:x val="0.12862481639336368"/>
                  <c:y val="-0.1011017449929701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61-4E73-B858-5CA053A4AAD3}"/>
                </c:ext>
              </c:extLst>
            </c:dLbl>
            <c:dLbl>
              <c:idx val="8"/>
              <c:layout>
                <c:manualLayout>
                  <c:x val="0.31021888319005986"/>
                  <c:y val="-4.710986961470780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61-4E73-B858-5CA053A4AAD3}"/>
                </c:ext>
              </c:extLst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коттеджи!$B$3:$B$11</c:f>
              <c:numCache>
                <c:formatCode>General</c:formatCode>
                <c:ptCount val="9"/>
                <c:pt idx="0">
                  <c:v>505</c:v>
                </c:pt>
                <c:pt idx="1">
                  <c:v>266</c:v>
                </c:pt>
                <c:pt idx="2">
                  <c:v>81</c:v>
                </c:pt>
                <c:pt idx="3">
                  <c:v>153</c:v>
                </c:pt>
                <c:pt idx="4">
                  <c:v>128</c:v>
                </c:pt>
                <c:pt idx="5">
                  <c:v>124</c:v>
                </c:pt>
                <c:pt idx="6">
                  <c:v>65</c:v>
                </c:pt>
                <c:pt idx="7">
                  <c:v>60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861-4E73-B858-5CA053A4AAD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BAB4E-549D-44E3-A13E-18227CC56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1584</TotalTime>
  <Pages>1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moiseeva</dc:creator>
  <cp:keywords/>
  <dc:description/>
  <cp:lastModifiedBy>analit1</cp:lastModifiedBy>
  <cp:revision>112</cp:revision>
  <cp:lastPrinted>2016-07-21T12:19:00Z</cp:lastPrinted>
  <dcterms:created xsi:type="dcterms:W3CDTF">2015-07-24T11:49:00Z</dcterms:created>
  <dcterms:modified xsi:type="dcterms:W3CDTF">2016-07-21T12:19:00Z</dcterms:modified>
</cp:coreProperties>
</file>