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A" w:rsidRPr="006118C7" w:rsidRDefault="0085174A" w:rsidP="00563FA2">
      <w:pPr>
        <w:pStyle w:val="2"/>
        <w:spacing w:before="120" w:after="60"/>
        <w:ind w:left="-142" w:right="-143"/>
        <w:rPr>
          <w:rFonts w:ascii="Verdana" w:hAnsi="Verdana"/>
          <w:i/>
          <w:color w:val="E36C0A"/>
          <w:sz w:val="24"/>
          <w:szCs w:val="24"/>
          <w:lang w:eastAsia="ru-RU"/>
        </w:rPr>
      </w:pP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Воронеж. Обзор рынка жилой недвижимости за </w:t>
      </w:r>
      <w:r w:rsidR="000E4A3C">
        <w:rPr>
          <w:rFonts w:ascii="Verdana" w:hAnsi="Verdana"/>
          <w:i/>
          <w:color w:val="E36C0A"/>
          <w:sz w:val="24"/>
          <w:szCs w:val="24"/>
          <w:lang w:eastAsia="ru-RU"/>
        </w:rPr>
        <w:t>август</w:t>
      </w:r>
      <w:r w:rsidR="00563FA2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201</w:t>
      </w:r>
      <w:r w:rsidR="00E818D9">
        <w:rPr>
          <w:rFonts w:ascii="Verdana" w:hAnsi="Verdana"/>
          <w:i/>
          <w:color w:val="E36C0A"/>
          <w:sz w:val="24"/>
          <w:szCs w:val="24"/>
          <w:lang w:eastAsia="ru-RU"/>
        </w:rPr>
        <w:t>4</w:t>
      </w: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года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8244CF">
        <w:rPr>
          <w:rFonts w:ascii="Verdana" w:hAnsi="Verdana"/>
          <w:color w:val="595959"/>
          <w:sz w:val="16"/>
          <w:szCs w:val="16"/>
        </w:rPr>
        <w:t>Для целей информационного обеспечения процедур</w:t>
      </w:r>
      <w:r>
        <w:rPr>
          <w:rFonts w:ascii="Verdana" w:hAnsi="Verdana"/>
          <w:color w:val="595959"/>
          <w:sz w:val="16"/>
          <w:szCs w:val="16"/>
        </w:rPr>
        <w:t>ы</w:t>
      </w:r>
      <w:r w:rsidRPr="008244CF">
        <w:rPr>
          <w:rFonts w:ascii="Verdana" w:hAnsi="Verdana"/>
          <w:color w:val="595959"/>
          <w:sz w:val="16"/>
          <w:szCs w:val="16"/>
        </w:rPr>
        <w:t xml:space="preserve"> оценки квартир в городе Воронеже специалисты компании «ИнвестОценка» подготовили обзор рынка жилой недвижимости 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за </w:t>
      </w:r>
      <w:r w:rsidR="000E4A3C">
        <w:rPr>
          <w:rFonts w:ascii="Verdana" w:hAnsi="Verdana"/>
          <w:b/>
          <w:color w:val="595959"/>
          <w:sz w:val="16"/>
          <w:szCs w:val="16"/>
        </w:rPr>
        <w:t>август</w:t>
      </w:r>
      <w:r w:rsidR="00563FA2">
        <w:rPr>
          <w:rFonts w:ascii="Verdana" w:hAnsi="Verdana"/>
          <w:b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b/>
          <w:color w:val="595959"/>
          <w:sz w:val="16"/>
          <w:szCs w:val="16"/>
        </w:rPr>
        <w:t>4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 года</w:t>
      </w:r>
      <w:r w:rsidRPr="008244CF">
        <w:rPr>
          <w:rFonts w:ascii="Verdana" w:hAnsi="Verdana"/>
          <w:color w:val="595959"/>
          <w:sz w:val="16"/>
          <w:szCs w:val="16"/>
        </w:rPr>
        <w:t>.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 w:cs="Calibri"/>
          <w:color w:val="595959"/>
          <w:sz w:val="16"/>
          <w:szCs w:val="16"/>
        </w:rPr>
      </w:pPr>
      <w:r w:rsidRPr="008244CF">
        <w:rPr>
          <w:rFonts w:ascii="Verdana" w:hAnsi="Verdana" w:cs="Calibri"/>
          <w:color w:val="595959"/>
          <w:sz w:val="16"/>
          <w:szCs w:val="16"/>
        </w:rPr>
        <w:t xml:space="preserve">Информация для </w:t>
      </w:r>
      <w:r>
        <w:rPr>
          <w:rFonts w:ascii="Verdana" w:hAnsi="Verdana" w:cs="Calibri"/>
          <w:color w:val="595959"/>
          <w:sz w:val="16"/>
          <w:szCs w:val="16"/>
        </w:rPr>
        <w:t xml:space="preserve">написания </w:t>
      </w:r>
      <w:r w:rsidRPr="008244CF">
        <w:rPr>
          <w:rFonts w:ascii="Verdana" w:hAnsi="Verdana" w:cs="Calibri"/>
          <w:color w:val="595959"/>
          <w:sz w:val="16"/>
          <w:szCs w:val="16"/>
        </w:rPr>
        <w:t xml:space="preserve">настоящего обзора получена на основании мониторинга специализированных источников, посвященных рынку недвижимости города Воронежа, в том числе: электронные базы недвижимости, печатные и электронные СМИ, базы данных риэлтерских агентств Воронежа, собственная статистика компании «ИнвестОценка». </w:t>
      </w:r>
    </w:p>
    <w:p w:rsidR="0085174A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eastAsia="Times New Roman" w:hAnsi="Verdana"/>
          <w:color w:val="595959"/>
          <w:sz w:val="16"/>
          <w:szCs w:val="16"/>
        </w:rPr>
      </w:pPr>
      <w:r w:rsidRPr="008244CF">
        <w:rPr>
          <w:rFonts w:ascii="Verdana" w:eastAsia="Times New Roman" w:hAnsi="Verdana"/>
          <w:color w:val="595959"/>
          <w:sz w:val="16"/>
          <w:szCs w:val="16"/>
        </w:rPr>
        <w:t xml:space="preserve">В качестве объектов для исследования были отобраны </w:t>
      </w:r>
      <w:r w:rsidRPr="008244CF">
        <w:rPr>
          <w:rFonts w:ascii="Verdana" w:hAnsi="Verdana"/>
          <w:color w:val="595959"/>
          <w:sz w:val="16"/>
          <w:szCs w:val="16"/>
        </w:rPr>
        <w:t>только объекты</w:t>
      </w:r>
      <w:r>
        <w:rPr>
          <w:rFonts w:ascii="Verdana" w:hAnsi="Verdana"/>
          <w:color w:val="595959"/>
          <w:sz w:val="16"/>
          <w:szCs w:val="16"/>
        </w:rPr>
        <w:t xml:space="preserve"> – </w:t>
      </w:r>
      <w:r w:rsidRPr="008244CF">
        <w:rPr>
          <w:rFonts w:ascii="Verdana" w:hAnsi="Verdana"/>
          <w:color w:val="595959"/>
          <w:sz w:val="16"/>
          <w:szCs w:val="16"/>
        </w:rPr>
        <w:t xml:space="preserve">квартиры (одно-, двух- и трех-, 4-х и более </w:t>
      </w:r>
      <w:r w:rsidRPr="002266EC">
        <w:rPr>
          <w:rFonts w:ascii="Verdana" w:hAnsi="Verdana"/>
          <w:color w:val="595959"/>
          <w:sz w:val="16"/>
          <w:szCs w:val="16"/>
        </w:rPr>
        <w:t xml:space="preserve">комнатные) и не рассматриваются </w:t>
      </w:r>
      <w:r w:rsidRPr="007A6D86">
        <w:rPr>
          <w:rFonts w:ascii="Verdana" w:hAnsi="Verdana"/>
          <w:color w:val="595959"/>
          <w:sz w:val="16"/>
          <w:szCs w:val="16"/>
        </w:rPr>
        <w:t>комнаты и доли</w:t>
      </w:r>
      <w:r w:rsidRPr="007A6D86">
        <w:rPr>
          <w:rFonts w:ascii="Verdana" w:eastAsia="Times New Roman" w:hAnsi="Verdana"/>
          <w:color w:val="595959"/>
          <w:sz w:val="16"/>
          <w:szCs w:val="16"/>
        </w:rPr>
        <w:t xml:space="preserve">. </w:t>
      </w:r>
      <w:r w:rsidRPr="007A6D86">
        <w:rPr>
          <w:rFonts w:ascii="Verdana" w:hAnsi="Verdana"/>
          <w:color w:val="595959"/>
          <w:sz w:val="16"/>
          <w:szCs w:val="16"/>
        </w:rPr>
        <w:t xml:space="preserve">В </w:t>
      </w:r>
      <w:r>
        <w:rPr>
          <w:rFonts w:ascii="Verdana" w:hAnsi="Verdana"/>
          <w:color w:val="595959"/>
          <w:sz w:val="16"/>
          <w:szCs w:val="16"/>
        </w:rPr>
        <w:t>выборке</w:t>
      </w:r>
      <w:r w:rsidRPr="007A6D86">
        <w:rPr>
          <w:rFonts w:ascii="Verdana" w:hAnsi="Verdana"/>
          <w:color w:val="595959"/>
          <w:sz w:val="16"/>
          <w:szCs w:val="16"/>
        </w:rPr>
        <w:t xml:space="preserve"> 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 xml:space="preserve">участвуют только 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«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уникальные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» (не повторяющиеся) предложения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2266EC">
        <w:rPr>
          <w:rFonts w:ascii="Verdana" w:hAnsi="Verdana"/>
          <w:color w:val="595959"/>
          <w:sz w:val="16"/>
          <w:szCs w:val="16"/>
        </w:rPr>
        <w:t xml:space="preserve">В целях анализа </w:t>
      </w:r>
      <w:r w:rsidRPr="00E00485">
        <w:rPr>
          <w:rFonts w:ascii="Verdana" w:hAnsi="Verdana"/>
          <w:color w:val="595959"/>
          <w:sz w:val="16"/>
          <w:szCs w:val="16"/>
        </w:rPr>
        <w:t xml:space="preserve">ценовой динамики используется средневзвешенная цена предложения. Расчет средних цен за </w:t>
      </w:r>
      <w:r w:rsidR="00490D42">
        <w:rPr>
          <w:rFonts w:ascii="Verdana" w:hAnsi="Verdana"/>
          <w:color w:val="595959"/>
          <w:sz w:val="16"/>
          <w:szCs w:val="16"/>
        </w:rPr>
        <w:t xml:space="preserve">             </w:t>
      </w:r>
      <w:r w:rsidRPr="00E00485">
        <w:rPr>
          <w:rFonts w:ascii="Verdana" w:hAnsi="Verdana"/>
          <w:color w:val="595959"/>
          <w:sz w:val="16"/>
          <w:szCs w:val="16"/>
        </w:rPr>
        <w:t>1 кв. м общей площади ведется без учета элитных объектов.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iCs/>
          <w:color w:val="595959"/>
          <w:sz w:val="16"/>
          <w:szCs w:val="16"/>
        </w:rPr>
      </w:pPr>
      <w:r w:rsidRPr="00E00485">
        <w:rPr>
          <w:rFonts w:ascii="Verdana" w:hAnsi="Verdana" w:cs="Calibri"/>
          <w:color w:val="595959"/>
          <w:sz w:val="16"/>
          <w:szCs w:val="16"/>
        </w:rPr>
        <w:t xml:space="preserve">Все расчеты выполнены в соответствии </w:t>
      </w:r>
      <w:r w:rsidRPr="00E00485">
        <w:rPr>
          <w:rFonts w:ascii="Verdana" w:hAnsi="Verdana"/>
          <w:iCs/>
          <w:color w:val="595959"/>
          <w:sz w:val="16"/>
          <w:szCs w:val="16"/>
        </w:rPr>
        <w:t>с методологией Главного аналитика Российской Гильдии Риэлторов Стерника Г. М.</w:t>
      </w:r>
    </w:p>
    <w:p w:rsidR="0085174A" w:rsidRPr="0099098B" w:rsidRDefault="0085174A" w:rsidP="0085174A">
      <w:pPr>
        <w:pStyle w:val="ab"/>
        <w:spacing w:before="120" w:after="60" w:line="276" w:lineRule="auto"/>
        <w:ind w:left="-142"/>
        <w:rPr>
          <w:rFonts w:ascii="Verdana" w:hAnsi="Verdana" w:cs="Arial"/>
          <w:color w:val="595959"/>
          <w:sz w:val="16"/>
          <w:szCs w:val="16"/>
        </w:rPr>
      </w:pPr>
      <w:r w:rsidRPr="00E00485">
        <w:rPr>
          <w:rFonts w:ascii="Verdana" w:hAnsi="Verdana"/>
          <w:color w:val="E36C0A"/>
          <w:sz w:val="16"/>
          <w:szCs w:val="16"/>
        </w:rPr>
        <w:t xml:space="preserve">Таблица </w: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E00485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>
        <w:rPr>
          <w:rFonts w:ascii="Verdana" w:hAnsi="Verdana"/>
          <w:noProof/>
          <w:color w:val="E36C0A"/>
          <w:sz w:val="16"/>
          <w:szCs w:val="16"/>
        </w:rPr>
        <w:t>1</w: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E00485">
        <w:rPr>
          <w:rFonts w:ascii="Verdana" w:hAnsi="Verdana"/>
          <w:color w:val="E36C0A"/>
          <w:sz w:val="16"/>
          <w:szCs w:val="16"/>
        </w:rPr>
        <w:t>.</w:t>
      </w:r>
      <w:r w:rsidRPr="00E00485">
        <w:rPr>
          <w:rFonts w:ascii="Verdana" w:hAnsi="Verdana"/>
          <w:sz w:val="16"/>
          <w:szCs w:val="16"/>
        </w:rPr>
        <w:t xml:space="preserve"> </w:t>
      </w:r>
      <w:r w:rsidRPr="00E00485">
        <w:rPr>
          <w:rFonts w:ascii="Verdana" w:hAnsi="Verdana"/>
          <w:color w:val="595959"/>
          <w:sz w:val="16"/>
          <w:szCs w:val="16"/>
        </w:rPr>
        <w:t xml:space="preserve">Основные показатели рынка предложения жилой недвижимости (квартир) Воронежа на конец </w:t>
      </w:r>
      <w:r w:rsidR="000E4A3C">
        <w:rPr>
          <w:rFonts w:ascii="Verdana" w:hAnsi="Verdana"/>
          <w:color w:val="595959"/>
          <w:sz w:val="16"/>
          <w:szCs w:val="16"/>
        </w:rPr>
        <w:t>августа</w:t>
      </w:r>
      <w:r w:rsidR="00CA687A">
        <w:rPr>
          <w:rFonts w:ascii="Verdana" w:hAnsi="Verdana"/>
          <w:color w:val="595959"/>
          <w:sz w:val="16"/>
          <w:szCs w:val="16"/>
        </w:rPr>
        <w:t xml:space="preserve"> </w:t>
      </w:r>
      <w:r w:rsidR="00E463EC">
        <w:rPr>
          <w:rFonts w:ascii="Verdana" w:hAnsi="Verdana"/>
          <w:color w:val="595959"/>
          <w:sz w:val="16"/>
          <w:szCs w:val="16"/>
        </w:rPr>
        <w:t>201</w:t>
      </w:r>
      <w:r w:rsidR="00E818D9">
        <w:rPr>
          <w:rFonts w:ascii="Verdana" w:hAnsi="Verdana"/>
          <w:color w:val="595959"/>
          <w:sz w:val="16"/>
          <w:szCs w:val="16"/>
        </w:rPr>
        <w:t>4</w:t>
      </w:r>
      <w:r w:rsidRPr="00E00485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9640" w:type="dxa"/>
        <w:tblInd w:w="-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6379"/>
        <w:gridCol w:w="922"/>
        <w:gridCol w:w="1170"/>
        <w:gridCol w:w="1169"/>
      </w:tblGrid>
      <w:tr w:rsidR="00D57B5F" w:rsidRPr="00923972" w:rsidTr="00D57B5F">
        <w:tc>
          <w:tcPr>
            <w:tcW w:w="6379" w:type="dxa"/>
            <w:shd w:val="clear" w:color="auto" w:fill="E36C0A"/>
            <w:vAlign w:val="center"/>
          </w:tcPr>
          <w:p w:rsidR="00D57B5F" w:rsidRPr="00B02743" w:rsidRDefault="00D57B5F" w:rsidP="00FA3DDF">
            <w:pPr>
              <w:spacing w:before="20" w:after="20" w:line="240" w:lineRule="auto"/>
              <w:ind w:left="-108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 xml:space="preserve">Основные показатели </w:t>
            </w:r>
          </w:p>
        </w:tc>
        <w:tc>
          <w:tcPr>
            <w:tcW w:w="922" w:type="dxa"/>
            <w:shd w:val="clear" w:color="auto" w:fill="E36C0A"/>
            <w:vAlign w:val="center"/>
          </w:tcPr>
          <w:p w:rsidR="00D57B5F" w:rsidRPr="00B02743" w:rsidRDefault="000E4A3C" w:rsidP="00FA3DDF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val="en-US" w:eastAsia="ru-RU"/>
              </w:rPr>
            </w:pPr>
            <w:r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Август</w:t>
            </w:r>
          </w:p>
          <w:p w:rsidR="00D57B5F" w:rsidRPr="00B02743" w:rsidRDefault="00D57B5F" w:rsidP="00FA3DDF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201</w:t>
            </w:r>
            <w:r w:rsidR="00E818D9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E36C0A"/>
            <w:vAlign w:val="center"/>
          </w:tcPr>
          <w:p w:rsidR="00D57B5F" w:rsidRPr="00B02743" w:rsidRDefault="00D57B5F" w:rsidP="00FA3DDF">
            <w:pPr>
              <w:spacing w:before="20" w:after="20" w:line="240" w:lineRule="auto"/>
              <w:ind w:left="-4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руб./кв. м</w:t>
            </w:r>
          </w:p>
        </w:tc>
        <w:tc>
          <w:tcPr>
            <w:tcW w:w="1169" w:type="dxa"/>
            <w:shd w:val="clear" w:color="auto" w:fill="E36C0A"/>
            <w:vAlign w:val="center"/>
          </w:tcPr>
          <w:p w:rsidR="00D57B5F" w:rsidRPr="00B02743" w:rsidRDefault="00D57B5F" w:rsidP="00FA3DDF">
            <w:pPr>
              <w:spacing w:before="20" w:after="20" w:line="240" w:lineRule="auto"/>
              <w:ind w:right="-5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07436A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жилья в среднем по городу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  <w:t>49 218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  <w:t>440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b/>
                <w:bCs/>
                <w:color w:val="595959"/>
                <w:sz w:val="14"/>
                <w:szCs w:val="14"/>
              </w:rPr>
              <w:t>0,90%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Общее количество экспонируемых объектов, шт.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3 619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-1 772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-48,96%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новизне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</w:tr>
      <w:tr w:rsidR="00D00798" w:rsidRPr="00923972" w:rsidTr="00ED0506">
        <w:trPr>
          <w:trHeight w:val="261"/>
        </w:trPr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Вторичка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50 571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338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0,67%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Новостройки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46 357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-51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-0,11%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количеству комнат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Однокомнатные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51 898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646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1,24%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Двухкомнатные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48 335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405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0,84%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Трехкомнатные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46 761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151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0,32%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4-х и более 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44 256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353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0,80%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районам города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Центральный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53 146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-997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-1,88%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Коминтерновский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48 078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654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1,36%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Ленинский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53 930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310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0,58%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Советский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47 751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-164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-0,34%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Железнодорожный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48 156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1 393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2,89%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Левобережный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48 018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771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1,61%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типажу здания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Сталинка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48 297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-2 250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-4,66%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Хрущевка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48 587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417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0,86%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Брежневка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48 897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370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0,76%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Чешка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48 522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241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0,50%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Современная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49 635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696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1,40%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материалу стен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 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50 665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-44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-0,09%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Монолитный и монолитно-кирпичный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47 966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1 318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2,75%</w:t>
            </w:r>
          </w:p>
        </w:tc>
      </w:tr>
      <w:tr w:rsidR="00D00798" w:rsidRPr="00923972" w:rsidTr="00ED0506">
        <w:tc>
          <w:tcPr>
            <w:tcW w:w="6379" w:type="dxa"/>
            <w:shd w:val="clear" w:color="auto" w:fill="FFFFFF"/>
          </w:tcPr>
          <w:p w:rsidR="00D00798" w:rsidRPr="00923972" w:rsidRDefault="00D00798" w:rsidP="00AB6F50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Панельный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</w:rPr>
              <w:t>47 718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353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00798" w:rsidRDefault="00D00798" w:rsidP="000E4A3C">
            <w:pPr>
              <w:spacing w:before="20" w:after="20"/>
              <w:jc w:val="center"/>
              <w:rPr>
                <w:rFonts w:ascii="Verdana" w:hAnsi="Verdana"/>
                <w:color w:val="595959"/>
                <w:sz w:val="14"/>
                <w:szCs w:val="14"/>
              </w:rPr>
            </w:pPr>
            <w:r>
              <w:rPr>
                <w:rFonts w:ascii="Verdana" w:hAnsi="Verdana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/>
                <w:color w:val="595959"/>
                <w:sz w:val="14"/>
                <w:szCs w:val="14"/>
              </w:rPr>
              <w:t>0,74%</w:t>
            </w:r>
          </w:p>
        </w:tc>
      </w:tr>
    </w:tbl>
    <w:p w:rsidR="0085174A" w:rsidRPr="005269FC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1D61B6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2"/>
          <w:szCs w:val="12"/>
        </w:rPr>
        <w:sectPr w:rsidR="0085174A" w:rsidRPr="001D61B6" w:rsidSect="008517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414" w:gutter="0"/>
          <w:cols w:space="709"/>
          <w:docGrid w:linePitch="360"/>
        </w:sectPr>
      </w:pPr>
    </w:p>
    <w:p w:rsidR="0085174A" w:rsidRPr="006B45EA" w:rsidRDefault="0085174A" w:rsidP="00A57F6D">
      <w:pPr>
        <w:pStyle w:val="a4"/>
        <w:spacing w:before="60" w:beforeAutospacing="0" w:after="60" w:afterAutospacing="0"/>
        <w:ind w:left="-142" w:right="-143"/>
        <w:jc w:val="both"/>
        <w:rPr>
          <w:b/>
          <w:i/>
          <w:color w:val="E36C0A"/>
          <w:sz w:val="22"/>
          <w:szCs w:val="22"/>
        </w:rPr>
      </w:pPr>
      <w:r w:rsidRPr="006B45EA">
        <w:rPr>
          <w:b/>
          <w:i/>
          <w:color w:val="E36C0A"/>
          <w:sz w:val="22"/>
          <w:szCs w:val="22"/>
        </w:rPr>
        <w:lastRenderedPageBreak/>
        <w:t>Предложение</w:t>
      </w:r>
    </w:p>
    <w:p w:rsidR="00AF1888" w:rsidRDefault="00D71E2E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0C7ED3">
        <w:rPr>
          <w:color w:val="595959"/>
          <w:sz w:val="16"/>
          <w:szCs w:val="16"/>
        </w:rPr>
        <w:t xml:space="preserve">По итогам </w:t>
      </w:r>
      <w:r w:rsidR="000E4A3C">
        <w:rPr>
          <w:color w:val="595959"/>
          <w:sz w:val="16"/>
          <w:szCs w:val="16"/>
        </w:rPr>
        <w:t>августа</w:t>
      </w:r>
      <w:r w:rsidRPr="000C7ED3">
        <w:rPr>
          <w:color w:val="595959"/>
          <w:sz w:val="16"/>
          <w:szCs w:val="16"/>
        </w:rPr>
        <w:t xml:space="preserve"> 2014 года объём предложения жилой недвижимости Воронежа </w:t>
      </w:r>
      <w:r w:rsidR="000E4A3C">
        <w:rPr>
          <w:color w:val="595959"/>
          <w:sz w:val="16"/>
          <w:szCs w:val="16"/>
        </w:rPr>
        <w:t>упал</w:t>
      </w:r>
      <w:r w:rsidRPr="000C7ED3">
        <w:rPr>
          <w:color w:val="595959"/>
          <w:sz w:val="16"/>
          <w:szCs w:val="16"/>
        </w:rPr>
        <w:t xml:space="preserve"> </w:t>
      </w:r>
      <w:r w:rsidR="00083CD8">
        <w:rPr>
          <w:color w:val="595959"/>
          <w:sz w:val="16"/>
          <w:szCs w:val="16"/>
        </w:rPr>
        <w:t xml:space="preserve">на </w:t>
      </w:r>
      <w:r w:rsidR="000E4A3C">
        <w:rPr>
          <w:color w:val="595959"/>
          <w:sz w:val="16"/>
          <w:szCs w:val="16"/>
        </w:rPr>
        <w:t>4</w:t>
      </w:r>
      <w:r w:rsidR="007B4B42">
        <w:rPr>
          <w:color w:val="595959"/>
          <w:sz w:val="16"/>
          <w:szCs w:val="16"/>
        </w:rPr>
        <w:t>8</w:t>
      </w:r>
      <w:r w:rsidR="00083CD8">
        <w:rPr>
          <w:color w:val="595959"/>
          <w:sz w:val="16"/>
          <w:szCs w:val="16"/>
        </w:rPr>
        <w:t>,</w:t>
      </w:r>
      <w:r w:rsidR="000E4A3C">
        <w:rPr>
          <w:color w:val="595959"/>
          <w:sz w:val="16"/>
          <w:szCs w:val="16"/>
        </w:rPr>
        <w:t>96</w:t>
      </w:r>
      <w:r w:rsidRPr="000C7ED3">
        <w:rPr>
          <w:color w:val="595959"/>
          <w:sz w:val="16"/>
          <w:szCs w:val="16"/>
        </w:rPr>
        <w:t>%</w:t>
      </w:r>
      <w:r w:rsidR="00083CD8">
        <w:rPr>
          <w:color w:val="595959"/>
          <w:sz w:val="16"/>
          <w:szCs w:val="16"/>
        </w:rPr>
        <w:t>,</w:t>
      </w:r>
      <w:r w:rsidR="00BE550F" w:rsidRPr="000C7ED3">
        <w:rPr>
          <w:color w:val="595959"/>
          <w:sz w:val="16"/>
          <w:szCs w:val="16"/>
        </w:rPr>
        <w:t xml:space="preserve"> </w:t>
      </w:r>
      <w:r w:rsidR="00083CD8">
        <w:rPr>
          <w:color w:val="595959"/>
          <w:sz w:val="16"/>
          <w:szCs w:val="16"/>
        </w:rPr>
        <w:t>состави</w:t>
      </w:r>
      <w:r w:rsidR="00A35112">
        <w:rPr>
          <w:color w:val="595959"/>
          <w:sz w:val="16"/>
          <w:szCs w:val="16"/>
        </w:rPr>
        <w:t xml:space="preserve">в </w:t>
      </w:r>
      <w:r w:rsidR="000E4A3C">
        <w:rPr>
          <w:color w:val="595959"/>
          <w:sz w:val="16"/>
          <w:szCs w:val="16"/>
        </w:rPr>
        <w:t>3 619</w:t>
      </w:r>
      <w:r w:rsidR="00083CD8">
        <w:rPr>
          <w:color w:val="595959"/>
          <w:sz w:val="16"/>
          <w:szCs w:val="16"/>
        </w:rPr>
        <w:t xml:space="preserve"> объектов</w:t>
      </w:r>
      <w:r w:rsidR="00831BF5">
        <w:rPr>
          <w:color w:val="595959"/>
          <w:sz w:val="16"/>
          <w:szCs w:val="16"/>
        </w:rPr>
        <w:t xml:space="preserve"> (</w:t>
      </w:r>
      <w:r w:rsidR="000E4A3C">
        <w:rPr>
          <w:color w:val="595959"/>
          <w:sz w:val="16"/>
          <w:szCs w:val="16"/>
        </w:rPr>
        <w:t xml:space="preserve">5 391 </w:t>
      </w:r>
      <w:r w:rsidR="00831BF5">
        <w:rPr>
          <w:color w:val="595959"/>
          <w:sz w:val="16"/>
          <w:szCs w:val="16"/>
        </w:rPr>
        <w:t xml:space="preserve">на конец </w:t>
      </w:r>
      <w:r w:rsidR="00C94165">
        <w:rPr>
          <w:color w:val="595959"/>
          <w:sz w:val="16"/>
          <w:szCs w:val="16"/>
        </w:rPr>
        <w:t>ию</w:t>
      </w:r>
      <w:r w:rsidR="000E4A3C">
        <w:rPr>
          <w:color w:val="595959"/>
          <w:sz w:val="16"/>
          <w:szCs w:val="16"/>
        </w:rPr>
        <w:t>л</w:t>
      </w:r>
      <w:r w:rsidR="00C94165">
        <w:rPr>
          <w:color w:val="595959"/>
          <w:sz w:val="16"/>
          <w:szCs w:val="16"/>
        </w:rPr>
        <w:t>я</w:t>
      </w:r>
      <w:r w:rsidR="00831BF5">
        <w:rPr>
          <w:color w:val="595959"/>
          <w:sz w:val="16"/>
          <w:szCs w:val="16"/>
        </w:rPr>
        <w:t>)</w:t>
      </w:r>
      <w:r w:rsidRPr="00AF1888">
        <w:rPr>
          <w:color w:val="595959"/>
          <w:sz w:val="16"/>
          <w:szCs w:val="16"/>
        </w:rPr>
        <w:t>.</w:t>
      </w:r>
      <w:r w:rsidR="00B87E71">
        <w:rPr>
          <w:color w:val="595959"/>
          <w:sz w:val="16"/>
          <w:szCs w:val="16"/>
        </w:rPr>
        <w:t xml:space="preserve"> </w:t>
      </w:r>
      <w:r w:rsidR="000E4A3C">
        <w:rPr>
          <w:color w:val="595959"/>
          <w:sz w:val="16"/>
          <w:szCs w:val="16"/>
        </w:rPr>
        <w:t xml:space="preserve">Данные скачки характерны </w:t>
      </w:r>
      <w:r w:rsidR="00A35112">
        <w:rPr>
          <w:color w:val="595959"/>
          <w:sz w:val="16"/>
          <w:szCs w:val="16"/>
        </w:rPr>
        <w:t>для августа как, пика</w:t>
      </w:r>
      <w:r w:rsidR="000E4A3C">
        <w:rPr>
          <w:color w:val="595959"/>
          <w:sz w:val="16"/>
          <w:szCs w:val="16"/>
        </w:rPr>
        <w:t xml:space="preserve"> периода отпусков</w:t>
      </w:r>
      <w:r w:rsidR="00133943">
        <w:rPr>
          <w:color w:val="595959"/>
          <w:sz w:val="16"/>
          <w:szCs w:val="16"/>
        </w:rPr>
        <w:t>.</w:t>
      </w:r>
    </w:p>
    <w:p w:rsidR="00D71E2E" w:rsidRPr="00AF1888" w:rsidRDefault="00D71E2E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AF1888">
        <w:rPr>
          <w:color w:val="595959"/>
          <w:sz w:val="16"/>
          <w:szCs w:val="16"/>
        </w:rPr>
        <w:t>Лидером</w:t>
      </w:r>
      <w:r w:rsidRPr="005D53E9">
        <w:rPr>
          <w:color w:val="595959"/>
          <w:sz w:val="16"/>
          <w:szCs w:val="16"/>
        </w:rPr>
        <w:t xml:space="preserve"> среди районов остается Коминтерновский район (</w:t>
      </w:r>
      <w:r w:rsidR="00326812">
        <w:rPr>
          <w:color w:val="595959"/>
          <w:sz w:val="16"/>
          <w:szCs w:val="16"/>
        </w:rPr>
        <w:t>3</w:t>
      </w:r>
      <w:r w:rsidR="008D360C">
        <w:rPr>
          <w:color w:val="595959"/>
          <w:sz w:val="16"/>
          <w:szCs w:val="16"/>
        </w:rPr>
        <w:t>7</w:t>
      </w:r>
      <w:r w:rsidRPr="005D53E9">
        <w:rPr>
          <w:color w:val="595959"/>
          <w:sz w:val="16"/>
          <w:szCs w:val="16"/>
        </w:rPr>
        <w:t>% совокупного предложения)</w:t>
      </w:r>
      <w:r w:rsidR="0028162F" w:rsidRPr="005D53E9">
        <w:rPr>
          <w:color w:val="595959"/>
          <w:sz w:val="16"/>
          <w:szCs w:val="16"/>
        </w:rPr>
        <w:t xml:space="preserve">. </w:t>
      </w:r>
      <w:r w:rsidRPr="005D53E9">
        <w:rPr>
          <w:color w:val="595959"/>
          <w:sz w:val="16"/>
          <w:szCs w:val="16"/>
        </w:rPr>
        <w:t>Предложение одно- и двухкомнатных квартир составляет более 2/3 совокупного предложения</w:t>
      </w:r>
      <w:r w:rsidR="00831BF5">
        <w:rPr>
          <w:color w:val="595959"/>
          <w:sz w:val="16"/>
          <w:szCs w:val="16"/>
        </w:rPr>
        <w:t xml:space="preserve"> (3</w:t>
      </w:r>
      <w:r w:rsidR="00D235E1">
        <w:rPr>
          <w:color w:val="595959"/>
          <w:sz w:val="16"/>
          <w:szCs w:val="16"/>
        </w:rPr>
        <w:t>8</w:t>
      </w:r>
      <w:r w:rsidR="00831BF5">
        <w:rPr>
          <w:color w:val="595959"/>
          <w:sz w:val="16"/>
          <w:szCs w:val="16"/>
        </w:rPr>
        <w:t>% и 3</w:t>
      </w:r>
      <w:r w:rsidR="00D235E1">
        <w:rPr>
          <w:color w:val="595959"/>
          <w:sz w:val="16"/>
          <w:szCs w:val="16"/>
        </w:rPr>
        <w:t>6</w:t>
      </w:r>
      <w:r w:rsidR="00831BF5">
        <w:rPr>
          <w:color w:val="595959"/>
          <w:sz w:val="16"/>
          <w:szCs w:val="16"/>
        </w:rPr>
        <w:t>% соответственно)</w:t>
      </w:r>
      <w:r w:rsidRPr="005D53E9">
        <w:rPr>
          <w:color w:val="595959"/>
          <w:sz w:val="16"/>
          <w:szCs w:val="16"/>
        </w:rPr>
        <w:t xml:space="preserve">, </w:t>
      </w:r>
      <w:r w:rsidR="00E67183">
        <w:rPr>
          <w:color w:val="595959"/>
          <w:sz w:val="16"/>
          <w:szCs w:val="16"/>
        </w:rPr>
        <w:t>49</w:t>
      </w:r>
      <w:r w:rsidRPr="005D53E9">
        <w:rPr>
          <w:color w:val="595959"/>
          <w:sz w:val="16"/>
          <w:szCs w:val="16"/>
        </w:rPr>
        <w:t xml:space="preserve">% совокупного предложения составляют квартиры в кирпичных домах. Предложение квартир в современных домах </w:t>
      </w:r>
      <w:r w:rsidR="00E67183">
        <w:rPr>
          <w:color w:val="595959"/>
          <w:sz w:val="16"/>
          <w:szCs w:val="16"/>
        </w:rPr>
        <w:t>составило 59</w:t>
      </w:r>
      <w:r w:rsidRPr="005D53E9">
        <w:rPr>
          <w:color w:val="595959"/>
          <w:sz w:val="16"/>
          <w:szCs w:val="16"/>
        </w:rPr>
        <w:t>%.</w:t>
      </w:r>
    </w:p>
    <w:p w:rsidR="0085174A" w:rsidRDefault="0085174A" w:rsidP="00D71E2E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667242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begin"/>
      </w:r>
      <w:r w:rsidRPr="00667242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667242">
        <w:rPr>
          <w:rFonts w:ascii="Verdana" w:hAnsi="Verdana"/>
          <w:noProof/>
          <w:color w:val="E36C0A"/>
          <w:sz w:val="16"/>
          <w:szCs w:val="16"/>
        </w:rPr>
        <w:t>1</w: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end"/>
      </w:r>
      <w:r w:rsidRPr="00667242">
        <w:rPr>
          <w:rFonts w:ascii="Verdana" w:hAnsi="Verdana"/>
          <w:color w:val="E36C0A"/>
          <w:sz w:val="16"/>
          <w:szCs w:val="16"/>
        </w:rPr>
        <w:t>.</w:t>
      </w:r>
      <w:r w:rsidRPr="00667242">
        <w:rPr>
          <w:rFonts w:ascii="Verdana" w:hAnsi="Verdana"/>
          <w:color w:val="595959"/>
          <w:sz w:val="16"/>
          <w:szCs w:val="16"/>
        </w:rPr>
        <w:t xml:space="preserve"> С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труктура предложения квартир Воронежа на конец </w:t>
      </w:r>
      <w:r w:rsidR="000E4A3C">
        <w:rPr>
          <w:rFonts w:ascii="Verdana" w:hAnsi="Verdana" w:cs="Tahoma"/>
          <w:bCs w:val="0"/>
          <w:color w:val="595959"/>
          <w:sz w:val="16"/>
          <w:szCs w:val="16"/>
        </w:rPr>
        <w:t>августа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 201</w:t>
      </w:r>
      <w:r w:rsidR="00E818D9" w:rsidRPr="00667242">
        <w:rPr>
          <w:rFonts w:ascii="Verdana" w:hAnsi="Verdana" w:cs="Tahoma"/>
          <w:bCs w:val="0"/>
          <w:color w:val="595959"/>
          <w:sz w:val="16"/>
          <w:szCs w:val="16"/>
        </w:rPr>
        <w:t>4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>г.,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361"/>
      </w:tblGrid>
      <w:tr w:rsidR="0085174A" w:rsidRPr="0026474A" w:rsidTr="00FA3DDF">
        <w:tc>
          <w:tcPr>
            <w:tcW w:w="5351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B92409">
                  <wp:extent cx="2722829" cy="18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EC18E1">
                  <wp:extent cx="2718878" cy="180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878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FA3DDF">
        <w:tc>
          <w:tcPr>
            <w:tcW w:w="5351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361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FA3DDF">
        <w:tc>
          <w:tcPr>
            <w:tcW w:w="5351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BB2D8D">
                  <wp:extent cx="2722829" cy="180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3AA134">
                  <wp:extent cx="2722829" cy="180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FA3DDF">
        <w:tc>
          <w:tcPr>
            <w:tcW w:w="5351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361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504498" w:rsidRDefault="0085174A" w:rsidP="00A57F6D">
      <w:pPr>
        <w:pStyle w:val="a4"/>
        <w:spacing w:before="60" w:beforeAutospacing="0" w:after="60" w:afterAutospacing="0"/>
        <w:ind w:left="-142"/>
        <w:jc w:val="both"/>
        <w:rPr>
          <w:i/>
          <w:color w:val="E36C0A"/>
          <w:sz w:val="22"/>
          <w:szCs w:val="22"/>
        </w:rPr>
      </w:pPr>
      <w:r w:rsidRPr="00504498">
        <w:rPr>
          <w:b/>
          <w:i/>
          <w:color w:val="E36C0A"/>
          <w:sz w:val="22"/>
          <w:szCs w:val="22"/>
        </w:rPr>
        <w:t>Спрос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/>
          <w:sz w:val="16"/>
          <w:szCs w:val="16"/>
        </w:rPr>
        <w:t xml:space="preserve">Среди основных мотивов приобретения квартиры традиционно выделяют: улучшение жилищных условий, последующую сдачу в аренду и инвестиции.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При сравнении спроса на первичном и вторичном рынке, главным определяющим фактором является цена. При прочих равных покупатели отдадут предпочтение готовому жилью. При этом основная доля воронежцев предпочитает покупку новостроек в кирпичных и монолитно-кирпичных домах современного типа.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Наибольшим спросом пользуются одно- и двухкомнатные квартиры эконом-класса, как наиболее ликвидные и недорогие.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>Среди районов наиболее востребована недвижимость в Коминтерновском (в первую очередь, в Северном микрорайоне) и Советском районах города. Чаще всего воронежцы предпочитают не переезжать в другие районы, а покупать квартиры в том же районе, где живут.</w:t>
      </w:r>
    </w:p>
    <w:p w:rsidR="003518A9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E8070B">
        <w:rPr>
          <w:color w:val="595959"/>
          <w:sz w:val="16"/>
          <w:szCs w:val="16"/>
        </w:rPr>
        <w:t>Основное внимание покупателей при рассмотрении жилья в качестве объекта инвестирования уделяется местоположению объекта, удобству планировки, качеству строительства и репутации компании-застройщика, а также перспективам развития социально-бытовой инфраструктуры района расположения.</w:t>
      </w:r>
    </w:p>
    <w:p w:rsidR="0085174A" w:rsidRPr="00B078F9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B078F9">
        <w:rPr>
          <w:b/>
          <w:i/>
          <w:color w:val="E36C0A"/>
          <w:sz w:val="22"/>
          <w:szCs w:val="22"/>
        </w:rPr>
        <w:t>Ценовая ситуация</w:t>
      </w:r>
    </w:p>
    <w:p w:rsidR="005325EA" w:rsidRPr="00CF5C7C" w:rsidRDefault="00D235E1" w:rsidP="0085174A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В </w:t>
      </w:r>
      <w:r w:rsidR="000E4A3C">
        <w:rPr>
          <w:color w:val="595959"/>
          <w:sz w:val="16"/>
          <w:szCs w:val="16"/>
        </w:rPr>
        <w:t>августе</w:t>
      </w:r>
      <w:r>
        <w:rPr>
          <w:color w:val="595959"/>
          <w:sz w:val="16"/>
          <w:szCs w:val="16"/>
        </w:rPr>
        <w:t xml:space="preserve"> </w:t>
      </w:r>
      <w:r w:rsidR="00D96B88">
        <w:rPr>
          <w:color w:val="595959"/>
          <w:sz w:val="16"/>
          <w:szCs w:val="16"/>
        </w:rPr>
        <w:t>с</w:t>
      </w:r>
      <w:r w:rsidR="00D96B88" w:rsidRPr="008368AE">
        <w:rPr>
          <w:color w:val="595959"/>
          <w:sz w:val="16"/>
          <w:szCs w:val="16"/>
        </w:rPr>
        <w:t>редневзвешенная</w:t>
      </w:r>
      <w:r w:rsidR="00D96B88">
        <w:rPr>
          <w:color w:val="595959"/>
          <w:sz w:val="16"/>
          <w:szCs w:val="16"/>
        </w:rPr>
        <w:t xml:space="preserve"> удельная</w:t>
      </w:r>
      <w:r w:rsidR="00D96B88" w:rsidRPr="008368AE">
        <w:rPr>
          <w:color w:val="595959"/>
          <w:sz w:val="16"/>
          <w:szCs w:val="16"/>
        </w:rPr>
        <w:t xml:space="preserve"> цена предложения </w:t>
      </w:r>
      <w:r w:rsidR="00D96B88">
        <w:rPr>
          <w:color w:val="595959"/>
          <w:sz w:val="16"/>
          <w:szCs w:val="16"/>
        </w:rPr>
        <w:t xml:space="preserve">квартир </w:t>
      </w:r>
      <w:r w:rsidR="0085174A" w:rsidRPr="00CF5C7C">
        <w:rPr>
          <w:color w:val="595959"/>
          <w:sz w:val="16"/>
          <w:szCs w:val="16"/>
        </w:rPr>
        <w:t xml:space="preserve">в Воронеже </w:t>
      </w:r>
      <w:r w:rsidR="00E67183">
        <w:rPr>
          <w:color w:val="595959"/>
          <w:sz w:val="16"/>
          <w:szCs w:val="16"/>
        </w:rPr>
        <w:t>выросла</w:t>
      </w:r>
      <w:r w:rsidR="00C94165">
        <w:rPr>
          <w:color w:val="595959"/>
          <w:sz w:val="16"/>
          <w:szCs w:val="16"/>
        </w:rPr>
        <w:t xml:space="preserve"> на 0,</w:t>
      </w:r>
      <w:r w:rsidR="00E67183">
        <w:rPr>
          <w:color w:val="595959"/>
          <w:sz w:val="16"/>
          <w:szCs w:val="16"/>
        </w:rPr>
        <w:t>90</w:t>
      </w:r>
      <w:r>
        <w:rPr>
          <w:color w:val="595959"/>
          <w:sz w:val="16"/>
          <w:szCs w:val="16"/>
        </w:rPr>
        <w:t xml:space="preserve">% до </w:t>
      </w:r>
      <w:r w:rsidR="00F01072" w:rsidRPr="00CF5C7C">
        <w:rPr>
          <w:color w:val="595959"/>
          <w:sz w:val="16"/>
          <w:szCs w:val="16"/>
        </w:rPr>
        <w:t>4</w:t>
      </w:r>
      <w:r w:rsidR="00E67183">
        <w:rPr>
          <w:color w:val="595959"/>
          <w:sz w:val="16"/>
          <w:szCs w:val="16"/>
        </w:rPr>
        <w:t>9</w:t>
      </w:r>
      <w:r w:rsidR="00B87E71">
        <w:rPr>
          <w:color w:val="595959"/>
          <w:sz w:val="16"/>
          <w:szCs w:val="16"/>
        </w:rPr>
        <w:t> </w:t>
      </w:r>
      <w:r w:rsidR="00E67183">
        <w:rPr>
          <w:color w:val="595959"/>
          <w:sz w:val="16"/>
          <w:szCs w:val="16"/>
        </w:rPr>
        <w:t>21</w:t>
      </w:r>
      <w:r w:rsidR="008D360C">
        <w:rPr>
          <w:color w:val="595959"/>
          <w:sz w:val="16"/>
          <w:szCs w:val="16"/>
        </w:rPr>
        <w:t>8</w:t>
      </w:r>
      <w:r w:rsidR="00B87E71">
        <w:rPr>
          <w:color w:val="595959"/>
          <w:sz w:val="16"/>
          <w:szCs w:val="16"/>
        </w:rPr>
        <w:t xml:space="preserve"> </w:t>
      </w:r>
      <w:r w:rsidR="0085174A" w:rsidRPr="00CF5C7C">
        <w:rPr>
          <w:color w:val="595959"/>
          <w:sz w:val="16"/>
          <w:szCs w:val="16"/>
        </w:rPr>
        <w:t>руб./кв. м (</w:t>
      </w:r>
      <w:r w:rsidR="00E67183" w:rsidRPr="00CF5C7C">
        <w:rPr>
          <w:color w:val="595959"/>
          <w:sz w:val="16"/>
          <w:szCs w:val="16"/>
        </w:rPr>
        <w:t>4</w:t>
      </w:r>
      <w:r w:rsidR="00E67183">
        <w:rPr>
          <w:color w:val="595959"/>
          <w:sz w:val="16"/>
          <w:szCs w:val="16"/>
        </w:rPr>
        <w:t xml:space="preserve">8 778 </w:t>
      </w:r>
      <w:r w:rsidR="0085174A" w:rsidRPr="00CF5C7C">
        <w:rPr>
          <w:color w:val="595959"/>
          <w:sz w:val="16"/>
          <w:szCs w:val="16"/>
        </w:rPr>
        <w:t xml:space="preserve">руб./кв. м на конец </w:t>
      </w:r>
      <w:r w:rsidR="00C94165">
        <w:rPr>
          <w:color w:val="595959"/>
          <w:sz w:val="16"/>
          <w:szCs w:val="16"/>
        </w:rPr>
        <w:t>ию</w:t>
      </w:r>
      <w:r w:rsidR="000E4A3C">
        <w:rPr>
          <w:color w:val="595959"/>
          <w:sz w:val="16"/>
          <w:szCs w:val="16"/>
        </w:rPr>
        <w:t>л</w:t>
      </w:r>
      <w:r w:rsidR="00C94165">
        <w:rPr>
          <w:color w:val="595959"/>
          <w:sz w:val="16"/>
          <w:szCs w:val="16"/>
        </w:rPr>
        <w:t>я</w:t>
      </w:r>
      <w:r w:rsidR="0085174A" w:rsidRPr="00CF5C7C">
        <w:rPr>
          <w:color w:val="595959"/>
          <w:sz w:val="16"/>
          <w:szCs w:val="16"/>
        </w:rPr>
        <w:t xml:space="preserve">). </w:t>
      </w:r>
    </w:p>
    <w:p w:rsidR="0020119B" w:rsidRDefault="00B87E71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Ценовая ситуация на рынке остаётся стабильной, </w:t>
      </w:r>
      <w:r w:rsidR="00D235E1">
        <w:rPr>
          <w:color w:val="595959"/>
          <w:sz w:val="16"/>
          <w:szCs w:val="16"/>
        </w:rPr>
        <w:t>незначительн</w:t>
      </w:r>
      <w:r w:rsidR="006D0330">
        <w:rPr>
          <w:color w:val="595959"/>
          <w:sz w:val="16"/>
          <w:szCs w:val="16"/>
        </w:rPr>
        <w:t>ые</w:t>
      </w:r>
      <w:r w:rsidR="00D235E1">
        <w:rPr>
          <w:color w:val="595959"/>
          <w:sz w:val="16"/>
          <w:szCs w:val="16"/>
        </w:rPr>
        <w:t xml:space="preserve"> </w:t>
      </w:r>
      <w:r w:rsidR="006D0330">
        <w:rPr>
          <w:color w:val="595959"/>
          <w:sz w:val="16"/>
          <w:szCs w:val="16"/>
        </w:rPr>
        <w:t>колебания</w:t>
      </w:r>
      <w:r w:rsidR="00D235E1">
        <w:rPr>
          <w:color w:val="595959"/>
          <w:sz w:val="16"/>
          <w:szCs w:val="16"/>
        </w:rPr>
        <w:t xml:space="preserve"> цен </w:t>
      </w:r>
      <w:r w:rsidR="007C0A62">
        <w:rPr>
          <w:color w:val="595959"/>
          <w:sz w:val="16"/>
          <w:szCs w:val="16"/>
        </w:rPr>
        <w:t>за редким исключением превышают</w:t>
      </w:r>
      <w:r w:rsidR="00D235E1">
        <w:rPr>
          <w:color w:val="595959"/>
          <w:sz w:val="16"/>
          <w:szCs w:val="16"/>
        </w:rPr>
        <w:t xml:space="preserve"> 1%</w:t>
      </w:r>
      <w:r w:rsidR="002404A2" w:rsidRPr="00CF5C7C">
        <w:rPr>
          <w:color w:val="595959"/>
          <w:sz w:val="16"/>
          <w:szCs w:val="16"/>
        </w:rPr>
        <w:t xml:space="preserve">. </w:t>
      </w:r>
      <w:r w:rsidR="006D0330">
        <w:rPr>
          <w:color w:val="595959"/>
          <w:sz w:val="16"/>
          <w:szCs w:val="16"/>
        </w:rPr>
        <w:t>Изменения</w:t>
      </w:r>
      <w:r w:rsidR="00122543" w:rsidRPr="002867AD">
        <w:rPr>
          <w:color w:val="595959"/>
          <w:sz w:val="16"/>
          <w:szCs w:val="16"/>
        </w:rPr>
        <w:t xml:space="preserve"> цен в зависимости от количества комнат в </w:t>
      </w:r>
      <w:r w:rsidR="000E4A3C">
        <w:rPr>
          <w:color w:val="595959"/>
          <w:sz w:val="16"/>
          <w:szCs w:val="16"/>
        </w:rPr>
        <w:t>августе</w:t>
      </w:r>
      <w:r w:rsidR="00122543" w:rsidRPr="002867AD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заметно лишь по однокомнатным квартирам (+1,24</w:t>
      </w:r>
      <w:r w:rsidR="006D0330">
        <w:rPr>
          <w:color w:val="595959"/>
          <w:sz w:val="16"/>
          <w:szCs w:val="16"/>
        </w:rPr>
        <w:t>%</w:t>
      </w:r>
      <w:r w:rsidR="007C0A62">
        <w:rPr>
          <w:color w:val="595959"/>
          <w:sz w:val="16"/>
          <w:szCs w:val="16"/>
        </w:rPr>
        <w:t>)</w:t>
      </w:r>
      <w:r w:rsidR="00122543" w:rsidRPr="002867AD">
        <w:rPr>
          <w:color w:val="595959"/>
          <w:sz w:val="16"/>
          <w:szCs w:val="16"/>
        </w:rPr>
        <w:t xml:space="preserve">. </w:t>
      </w:r>
      <w:r w:rsidR="006D0330">
        <w:rPr>
          <w:color w:val="595959"/>
          <w:sz w:val="16"/>
          <w:szCs w:val="16"/>
        </w:rPr>
        <w:t>Выросли</w:t>
      </w:r>
      <w:r w:rsidR="00154857">
        <w:rPr>
          <w:color w:val="595959"/>
          <w:sz w:val="16"/>
          <w:szCs w:val="16"/>
        </w:rPr>
        <w:t xml:space="preserve"> цены</w:t>
      </w:r>
      <w:r w:rsidR="00122543" w:rsidRPr="002867AD">
        <w:rPr>
          <w:color w:val="595959"/>
          <w:sz w:val="16"/>
          <w:szCs w:val="16"/>
        </w:rPr>
        <w:t xml:space="preserve"> на квартиры в </w:t>
      </w:r>
      <w:proofErr w:type="spellStart"/>
      <w:r w:rsidR="006D0330">
        <w:rPr>
          <w:color w:val="595959"/>
          <w:sz w:val="16"/>
          <w:szCs w:val="16"/>
        </w:rPr>
        <w:t>хрушёвках</w:t>
      </w:r>
      <w:proofErr w:type="spellEnd"/>
      <w:r w:rsidR="006D0330">
        <w:rPr>
          <w:color w:val="595959"/>
          <w:sz w:val="16"/>
          <w:szCs w:val="16"/>
        </w:rPr>
        <w:t xml:space="preserve">, </w:t>
      </w:r>
      <w:proofErr w:type="spellStart"/>
      <w:r w:rsidR="007C0A62">
        <w:rPr>
          <w:color w:val="595959"/>
          <w:sz w:val="16"/>
          <w:szCs w:val="16"/>
        </w:rPr>
        <w:t>брежневках</w:t>
      </w:r>
      <w:proofErr w:type="spellEnd"/>
      <w:r w:rsidR="007C0A62" w:rsidRPr="002867AD">
        <w:rPr>
          <w:color w:val="595959"/>
          <w:sz w:val="16"/>
          <w:szCs w:val="16"/>
        </w:rPr>
        <w:t xml:space="preserve"> </w:t>
      </w:r>
      <w:r w:rsidR="006D0330">
        <w:rPr>
          <w:color w:val="595959"/>
          <w:sz w:val="16"/>
          <w:szCs w:val="16"/>
        </w:rPr>
        <w:t xml:space="preserve">и </w:t>
      </w:r>
      <w:r w:rsidR="007C0A62">
        <w:rPr>
          <w:color w:val="595959"/>
          <w:sz w:val="16"/>
          <w:szCs w:val="16"/>
        </w:rPr>
        <w:t xml:space="preserve">современных квартирах </w:t>
      </w:r>
      <w:r w:rsidR="00122543" w:rsidRPr="002867AD">
        <w:rPr>
          <w:color w:val="595959"/>
          <w:sz w:val="16"/>
          <w:szCs w:val="16"/>
        </w:rPr>
        <w:t>(</w:t>
      </w:r>
      <w:r w:rsidR="006D0330">
        <w:rPr>
          <w:color w:val="595959"/>
          <w:sz w:val="16"/>
          <w:szCs w:val="16"/>
        </w:rPr>
        <w:t>+</w:t>
      </w:r>
      <w:r w:rsidR="007C0A62">
        <w:rPr>
          <w:color w:val="595959"/>
          <w:sz w:val="16"/>
          <w:szCs w:val="16"/>
        </w:rPr>
        <w:t>0</w:t>
      </w:r>
      <w:r w:rsidR="00122543" w:rsidRPr="002867AD">
        <w:rPr>
          <w:color w:val="595959"/>
          <w:sz w:val="16"/>
          <w:szCs w:val="16"/>
        </w:rPr>
        <w:t>,</w:t>
      </w:r>
      <w:r w:rsidR="007C0A62">
        <w:rPr>
          <w:color w:val="595959"/>
          <w:sz w:val="16"/>
          <w:szCs w:val="16"/>
        </w:rPr>
        <w:t>86</w:t>
      </w:r>
      <w:r w:rsidR="00326812">
        <w:rPr>
          <w:color w:val="595959"/>
          <w:sz w:val="16"/>
          <w:szCs w:val="16"/>
        </w:rPr>
        <w:t>%</w:t>
      </w:r>
      <w:r w:rsidR="006D0330">
        <w:rPr>
          <w:color w:val="595959"/>
          <w:sz w:val="16"/>
          <w:szCs w:val="16"/>
        </w:rPr>
        <w:t>, +</w:t>
      </w:r>
      <w:r w:rsidR="007C0A62">
        <w:rPr>
          <w:color w:val="595959"/>
          <w:sz w:val="16"/>
          <w:szCs w:val="16"/>
        </w:rPr>
        <w:t>0</w:t>
      </w:r>
      <w:r w:rsidR="006D0330">
        <w:rPr>
          <w:color w:val="595959"/>
          <w:sz w:val="16"/>
          <w:szCs w:val="16"/>
        </w:rPr>
        <w:t>,</w:t>
      </w:r>
      <w:r w:rsidR="007C0A62">
        <w:rPr>
          <w:color w:val="595959"/>
          <w:sz w:val="16"/>
          <w:szCs w:val="16"/>
        </w:rPr>
        <w:t>76</w:t>
      </w:r>
      <w:r w:rsidR="006D0330">
        <w:rPr>
          <w:color w:val="595959"/>
          <w:sz w:val="16"/>
          <w:szCs w:val="16"/>
        </w:rPr>
        <w:t xml:space="preserve"> и +1,40 соответственно</w:t>
      </w:r>
      <w:r w:rsidR="00326812">
        <w:rPr>
          <w:color w:val="595959"/>
          <w:sz w:val="16"/>
          <w:szCs w:val="16"/>
        </w:rPr>
        <w:t xml:space="preserve">). </w:t>
      </w:r>
      <w:r w:rsidR="007C0A62">
        <w:rPr>
          <w:color w:val="595959"/>
          <w:sz w:val="16"/>
          <w:szCs w:val="16"/>
        </w:rPr>
        <w:t xml:space="preserve">В то же время квартиры в </w:t>
      </w:r>
      <w:proofErr w:type="spellStart"/>
      <w:r w:rsidR="007C0A62">
        <w:rPr>
          <w:color w:val="595959"/>
          <w:sz w:val="16"/>
          <w:szCs w:val="16"/>
        </w:rPr>
        <w:t>сталинках</w:t>
      </w:r>
      <w:proofErr w:type="spellEnd"/>
      <w:r w:rsidR="007C0A62">
        <w:rPr>
          <w:color w:val="595959"/>
          <w:sz w:val="16"/>
          <w:szCs w:val="16"/>
        </w:rPr>
        <w:t xml:space="preserve"> упали на 4,66%. </w:t>
      </w:r>
      <w:r w:rsidR="00FC6FAA">
        <w:rPr>
          <w:color w:val="595959"/>
          <w:sz w:val="16"/>
          <w:szCs w:val="16"/>
        </w:rPr>
        <w:t xml:space="preserve">В </w:t>
      </w:r>
      <w:r w:rsidR="00A35112">
        <w:rPr>
          <w:color w:val="595959"/>
          <w:sz w:val="16"/>
          <w:szCs w:val="16"/>
        </w:rPr>
        <w:t>Ком</w:t>
      </w:r>
      <w:r w:rsidR="007C0A62">
        <w:rPr>
          <w:color w:val="595959"/>
          <w:sz w:val="16"/>
          <w:szCs w:val="16"/>
        </w:rPr>
        <w:t>интерновском, Железнодорожном и Левобережном</w:t>
      </w:r>
      <w:r w:rsidR="00FC6FAA">
        <w:rPr>
          <w:color w:val="595959"/>
          <w:sz w:val="16"/>
          <w:szCs w:val="16"/>
        </w:rPr>
        <w:t xml:space="preserve"> район</w:t>
      </w:r>
      <w:r w:rsidR="007C0A62">
        <w:rPr>
          <w:color w:val="595959"/>
          <w:sz w:val="16"/>
          <w:szCs w:val="16"/>
        </w:rPr>
        <w:t>ах квартиры показали рост (+1,36%, +2,89% и +1,61% соответственно)</w:t>
      </w:r>
      <w:r w:rsidR="00FC6FAA">
        <w:rPr>
          <w:color w:val="595959"/>
          <w:sz w:val="16"/>
          <w:szCs w:val="16"/>
        </w:rPr>
        <w:t>,</w:t>
      </w:r>
      <w:r w:rsidR="002867AD" w:rsidRPr="002867AD">
        <w:rPr>
          <w:color w:val="595959"/>
          <w:sz w:val="16"/>
          <w:szCs w:val="16"/>
        </w:rPr>
        <w:t xml:space="preserve"> </w:t>
      </w:r>
      <w:r w:rsidR="00154857">
        <w:rPr>
          <w:color w:val="595959"/>
          <w:sz w:val="16"/>
          <w:szCs w:val="16"/>
        </w:rPr>
        <w:t xml:space="preserve">в то время как </w:t>
      </w:r>
      <w:r w:rsidR="0032771C">
        <w:rPr>
          <w:color w:val="595959"/>
          <w:sz w:val="16"/>
          <w:szCs w:val="16"/>
        </w:rPr>
        <w:t>по</w:t>
      </w:r>
      <w:r w:rsidR="00154857">
        <w:rPr>
          <w:color w:val="595959"/>
          <w:sz w:val="16"/>
          <w:szCs w:val="16"/>
        </w:rPr>
        <w:t xml:space="preserve"> квартир</w:t>
      </w:r>
      <w:r w:rsidR="0032771C">
        <w:rPr>
          <w:color w:val="595959"/>
          <w:sz w:val="16"/>
          <w:szCs w:val="16"/>
        </w:rPr>
        <w:t>ам</w:t>
      </w:r>
      <w:r w:rsidR="00154857">
        <w:rPr>
          <w:color w:val="595959"/>
          <w:sz w:val="16"/>
          <w:szCs w:val="16"/>
        </w:rPr>
        <w:t xml:space="preserve"> в </w:t>
      </w:r>
      <w:r w:rsidR="007C0A62">
        <w:rPr>
          <w:color w:val="595959"/>
          <w:sz w:val="16"/>
          <w:szCs w:val="16"/>
        </w:rPr>
        <w:t>Центральном</w:t>
      </w:r>
      <w:r w:rsidR="00154857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районе</w:t>
      </w:r>
      <w:r w:rsidR="00154857">
        <w:rPr>
          <w:color w:val="595959"/>
          <w:sz w:val="16"/>
          <w:szCs w:val="16"/>
        </w:rPr>
        <w:t xml:space="preserve"> бы</w:t>
      </w:r>
      <w:r w:rsidR="007C0A62">
        <w:rPr>
          <w:color w:val="595959"/>
          <w:sz w:val="16"/>
          <w:szCs w:val="16"/>
        </w:rPr>
        <w:t>ло</w:t>
      </w:r>
      <w:r w:rsidR="00154857">
        <w:rPr>
          <w:color w:val="595959"/>
          <w:sz w:val="16"/>
          <w:szCs w:val="16"/>
        </w:rPr>
        <w:t xml:space="preserve"> выявлен</w:t>
      </w:r>
      <w:r w:rsidR="007C0A62">
        <w:rPr>
          <w:color w:val="595959"/>
          <w:sz w:val="16"/>
          <w:szCs w:val="16"/>
        </w:rPr>
        <w:t>о</w:t>
      </w:r>
      <w:r w:rsidR="00154857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снижение</w:t>
      </w:r>
      <w:r>
        <w:rPr>
          <w:color w:val="595959"/>
          <w:sz w:val="16"/>
          <w:szCs w:val="16"/>
        </w:rPr>
        <w:t xml:space="preserve"> цен (</w:t>
      </w:r>
      <w:r w:rsidR="007C0A62">
        <w:rPr>
          <w:color w:val="595959"/>
          <w:sz w:val="16"/>
          <w:szCs w:val="16"/>
        </w:rPr>
        <w:t>-</w:t>
      </w:r>
      <w:r w:rsidR="0032771C">
        <w:rPr>
          <w:color w:val="595959"/>
          <w:sz w:val="16"/>
          <w:szCs w:val="16"/>
        </w:rPr>
        <w:t>1</w:t>
      </w:r>
      <w:r>
        <w:rPr>
          <w:color w:val="595959"/>
          <w:sz w:val="16"/>
          <w:szCs w:val="16"/>
        </w:rPr>
        <w:t>,</w:t>
      </w:r>
      <w:r w:rsidR="007C0A62">
        <w:rPr>
          <w:color w:val="595959"/>
          <w:sz w:val="16"/>
          <w:szCs w:val="16"/>
        </w:rPr>
        <w:t>88</w:t>
      </w:r>
      <w:r>
        <w:rPr>
          <w:color w:val="595959"/>
          <w:sz w:val="16"/>
          <w:szCs w:val="16"/>
        </w:rPr>
        <w:t>%)</w:t>
      </w:r>
      <w:r w:rsidR="00122543" w:rsidRPr="002867AD">
        <w:rPr>
          <w:color w:val="595959"/>
          <w:sz w:val="16"/>
          <w:szCs w:val="16"/>
        </w:rPr>
        <w:t>.</w:t>
      </w:r>
    </w:p>
    <w:p w:rsidR="00122543" w:rsidRDefault="00FC6FAA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Колебания цен на квартиры в зависимости от новизны</w:t>
      </w:r>
      <w:r w:rsidR="00154857">
        <w:rPr>
          <w:color w:val="595959"/>
          <w:sz w:val="16"/>
          <w:szCs w:val="16"/>
        </w:rPr>
        <w:t xml:space="preserve"> </w:t>
      </w:r>
      <w:r w:rsidR="0032771C">
        <w:rPr>
          <w:color w:val="595959"/>
          <w:sz w:val="16"/>
          <w:szCs w:val="16"/>
        </w:rPr>
        <w:t>остаются на привычном уровне.</w:t>
      </w:r>
      <w:r w:rsidR="00122543" w:rsidRPr="0020119B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В</w:t>
      </w:r>
      <w:r w:rsidR="00831BF5">
        <w:rPr>
          <w:color w:val="595959"/>
          <w:sz w:val="16"/>
          <w:szCs w:val="16"/>
        </w:rPr>
        <w:t>торично</w:t>
      </w:r>
      <w:r>
        <w:rPr>
          <w:color w:val="595959"/>
          <w:sz w:val="16"/>
          <w:szCs w:val="16"/>
        </w:rPr>
        <w:t>е</w:t>
      </w:r>
      <w:r w:rsidR="00831BF5">
        <w:rPr>
          <w:color w:val="595959"/>
          <w:sz w:val="16"/>
          <w:szCs w:val="16"/>
        </w:rPr>
        <w:t xml:space="preserve"> жиль</w:t>
      </w:r>
      <w:r>
        <w:rPr>
          <w:color w:val="595959"/>
          <w:sz w:val="16"/>
          <w:szCs w:val="16"/>
        </w:rPr>
        <w:t>ё</w:t>
      </w:r>
      <w:r w:rsidR="00122543" w:rsidRPr="0020119B">
        <w:rPr>
          <w:color w:val="595959"/>
          <w:sz w:val="16"/>
          <w:szCs w:val="16"/>
        </w:rPr>
        <w:t xml:space="preserve"> по итогам </w:t>
      </w:r>
      <w:r w:rsidR="000E4A3C">
        <w:rPr>
          <w:color w:val="595959"/>
          <w:sz w:val="16"/>
          <w:szCs w:val="16"/>
        </w:rPr>
        <w:t>августа</w:t>
      </w:r>
      <w:r w:rsidR="00122543" w:rsidRPr="0020119B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подорожало</w:t>
      </w:r>
      <w:r>
        <w:rPr>
          <w:color w:val="595959"/>
          <w:sz w:val="16"/>
          <w:szCs w:val="16"/>
        </w:rPr>
        <w:t xml:space="preserve"> на 0</w:t>
      </w:r>
      <w:r w:rsidR="0020119B" w:rsidRPr="0020119B">
        <w:rPr>
          <w:color w:val="595959"/>
          <w:sz w:val="16"/>
          <w:szCs w:val="16"/>
        </w:rPr>
        <w:t>,</w:t>
      </w:r>
      <w:r w:rsidR="007C0A62">
        <w:rPr>
          <w:color w:val="595959"/>
          <w:sz w:val="16"/>
          <w:szCs w:val="16"/>
        </w:rPr>
        <w:t>67</w:t>
      </w:r>
      <w:r w:rsidR="00122543" w:rsidRPr="0020119B">
        <w:rPr>
          <w:color w:val="595959"/>
          <w:sz w:val="16"/>
          <w:szCs w:val="16"/>
        </w:rPr>
        <w:t xml:space="preserve">%, </w:t>
      </w:r>
      <w:r w:rsidR="00133943">
        <w:rPr>
          <w:color w:val="595959"/>
          <w:sz w:val="16"/>
          <w:szCs w:val="16"/>
        </w:rPr>
        <w:t>а</w:t>
      </w:r>
      <w:r w:rsidR="0020119B" w:rsidRPr="0020119B">
        <w:rPr>
          <w:color w:val="595959"/>
          <w:sz w:val="16"/>
          <w:szCs w:val="16"/>
        </w:rPr>
        <w:t xml:space="preserve"> </w:t>
      </w:r>
      <w:r w:rsidR="00831BF5">
        <w:rPr>
          <w:color w:val="595959"/>
          <w:sz w:val="16"/>
          <w:szCs w:val="16"/>
        </w:rPr>
        <w:t>новостройки</w:t>
      </w:r>
      <w:r w:rsidR="0020119B" w:rsidRPr="0020119B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подешевели</w:t>
      </w:r>
      <w:r w:rsidR="0032771C">
        <w:rPr>
          <w:color w:val="595959"/>
          <w:sz w:val="16"/>
          <w:szCs w:val="16"/>
        </w:rPr>
        <w:t xml:space="preserve"> </w:t>
      </w:r>
      <w:r w:rsidR="0020119B" w:rsidRPr="0020119B">
        <w:rPr>
          <w:color w:val="595959"/>
          <w:sz w:val="16"/>
          <w:szCs w:val="16"/>
        </w:rPr>
        <w:t xml:space="preserve">на </w:t>
      </w:r>
      <w:r w:rsidR="007C0A62">
        <w:rPr>
          <w:color w:val="595959"/>
          <w:sz w:val="16"/>
          <w:szCs w:val="16"/>
        </w:rPr>
        <w:t>0</w:t>
      </w:r>
      <w:r w:rsidR="0020119B" w:rsidRPr="0020119B">
        <w:rPr>
          <w:color w:val="595959"/>
          <w:sz w:val="16"/>
          <w:szCs w:val="16"/>
        </w:rPr>
        <w:t>,</w:t>
      </w:r>
      <w:r w:rsidR="0032771C">
        <w:rPr>
          <w:color w:val="595959"/>
          <w:sz w:val="16"/>
          <w:szCs w:val="16"/>
        </w:rPr>
        <w:t>1</w:t>
      </w:r>
      <w:r w:rsidR="007C0A62">
        <w:rPr>
          <w:color w:val="595959"/>
          <w:sz w:val="16"/>
          <w:szCs w:val="16"/>
        </w:rPr>
        <w:t>1</w:t>
      </w:r>
      <w:r w:rsidR="0020119B" w:rsidRPr="0020119B">
        <w:rPr>
          <w:color w:val="595959"/>
          <w:sz w:val="16"/>
          <w:szCs w:val="16"/>
        </w:rPr>
        <w:t>%</w:t>
      </w:r>
      <w:r w:rsidR="0032771C">
        <w:rPr>
          <w:color w:val="595959"/>
          <w:sz w:val="16"/>
          <w:szCs w:val="16"/>
        </w:rPr>
        <w:t>.</w:t>
      </w:r>
    </w:p>
    <w:p w:rsidR="00835BD4" w:rsidRDefault="00835BD4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A35112" w:rsidRDefault="00A35112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A35112" w:rsidRDefault="00A35112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A35112" w:rsidRDefault="00A35112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85174A" w:rsidRDefault="0085174A" w:rsidP="0085174A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EB6D7F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begin"/>
      </w:r>
      <w:r w:rsidRPr="00EB6D7F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EB6D7F">
        <w:rPr>
          <w:rFonts w:ascii="Verdana" w:hAnsi="Verdana"/>
          <w:noProof/>
          <w:color w:val="E36C0A"/>
          <w:sz w:val="16"/>
          <w:szCs w:val="16"/>
        </w:rPr>
        <w:t>2</w: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end"/>
      </w:r>
      <w:r w:rsidRPr="00EB6D7F">
        <w:rPr>
          <w:rFonts w:ascii="Verdana" w:hAnsi="Verdana"/>
          <w:color w:val="E36C0A"/>
          <w:sz w:val="16"/>
          <w:szCs w:val="16"/>
        </w:rPr>
        <w:t>.</w:t>
      </w:r>
      <w:r w:rsidRPr="00EB6D7F">
        <w:rPr>
          <w:rFonts w:ascii="Verdana" w:hAnsi="Verdana"/>
          <w:color w:val="595959"/>
          <w:sz w:val="16"/>
          <w:szCs w:val="16"/>
        </w:rPr>
        <w:t xml:space="preserve"> </w:t>
      </w:r>
      <w:r w:rsidR="00D96B88">
        <w:rPr>
          <w:rFonts w:ascii="Verdana" w:hAnsi="Verdana"/>
          <w:color w:val="595959"/>
          <w:sz w:val="16"/>
          <w:szCs w:val="16"/>
        </w:rPr>
        <w:t>Средняя удельная</w:t>
      </w:r>
      <w:r w:rsidR="00D96B88" w:rsidRPr="00842112">
        <w:rPr>
          <w:rFonts w:ascii="Verdana" w:hAnsi="Verdana"/>
          <w:color w:val="595959"/>
          <w:sz w:val="16"/>
          <w:szCs w:val="16"/>
        </w:rPr>
        <w:t xml:space="preserve"> </w:t>
      </w:r>
      <w:r w:rsidR="00D96B88" w:rsidRPr="008C32FE">
        <w:rPr>
          <w:rFonts w:ascii="Verdana" w:hAnsi="Verdana"/>
          <w:color w:val="595959"/>
          <w:sz w:val="16"/>
          <w:szCs w:val="16"/>
        </w:rPr>
        <w:t>цен</w:t>
      </w:r>
      <w:r w:rsidR="00D96B88">
        <w:rPr>
          <w:rFonts w:ascii="Verdana" w:hAnsi="Verdana"/>
          <w:color w:val="595959"/>
          <w:sz w:val="16"/>
          <w:szCs w:val="16"/>
        </w:rPr>
        <w:t>а</w:t>
      </w:r>
      <w:r w:rsidR="00D96B88" w:rsidRPr="008C32FE">
        <w:rPr>
          <w:rFonts w:ascii="Verdana" w:hAnsi="Verdana"/>
          <w:color w:val="595959"/>
          <w:sz w:val="16"/>
          <w:szCs w:val="16"/>
        </w:rPr>
        <w:t xml:space="preserve"> предложения квартир </w:t>
      </w:r>
      <w:r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Воронежа </w:t>
      </w:r>
      <w:r w:rsidRPr="00EB6D7F">
        <w:rPr>
          <w:rFonts w:ascii="Verdana" w:hAnsi="Verdana"/>
          <w:color w:val="595959"/>
          <w:sz w:val="16"/>
          <w:szCs w:val="16"/>
        </w:rPr>
        <w:t xml:space="preserve">на конец </w:t>
      </w:r>
      <w:r w:rsidR="000E4A3C">
        <w:rPr>
          <w:rFonts w:ascii="Verdana" w:hAnsi="Verdana" w:cs="Tahoma"/>
          <w:bCs w:val="0"/>
          <w:color w:val="595959"/>
          <w:sz w:val="16"/>
          <w:szCs w:val="16"/>
        </w:rPr>
        <w:t>августа</w:t>
      </w:r>
      <w:r w:rsidR="00EB6D7F"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 2014г</w:t>
      </w:r>
      <w:r w:rsidRPr="00EB6D7F">
        <w:rPr>
          <w:rFonts w:ascii="Verdana" w:hAnsi="Verdana"/>
          <w:color w:val="595959"/>
          <w:sz w:val="16"/>
          <w:szCs w:val="16"/>
        </w:rPr>
        <w:t>.</w:t>
      </w:r>
      <w:r w:rsidRPr="00EB6D7F">
        <w:rPr>
          <w:rFonts w:ascii="Verdana" w:hAnsi="Verdana" w:cs="Tahoma"/>
          <w:bCs w:val="0"/>
          <w:color w:val="595959"/>
          <w:sz w:val="16"/>
          <w:szCs w:val="16"/>
        </w:rPr>
        <w:t>,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4727"/>
      </w:tblGrid>
      <w:tr w:rsidR="0085174A" w:rsidRPr="0026474A" w:rsidTr="003968FC">
        <w:tc>
          <w:tcPr>
            <w:tcW w:w="4987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5E788C" wp14:editId="174388F8">
                  <wp:extent cx="3161241" cy="180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41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EA47E5" wp14:editId="7AD4DFB3">
                  <wp:extent cx="2995200" cy="180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0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506547">
        <w:tc>
          <w:tcPr>
            <w:tcW w:w="4987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4C0847">
                  <wp:extent cx="2622263" cy="180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6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0E4A3C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48C4C6">
                  <wp:extent cx="2722829" cy="180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6E0CC1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6E0CC1">
        <w:rPr>
          <w:b/>
          <w:i/>
          <w:color w:val="E36C0A"/>
          <w:sz w:val="22"/>
          <w:szCs w:val="22"/>
        </w:rPr>
        <w:t>Выводы и прогнозы</w:t>
      </w:r>
    </w:p>
    <w:p w:rsidR="009D6309" w:rsidRPr="00D75113" w:rsidRDefault="00277895" w:rsidP="009D6309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rFonts w:cs="Tahoma"/>
          <w:color w:val="595959"/>
          <w:sz w:val="16"/>
          <w:szCs w:val="16"/>
        </w:rPr>
      </w:pPr>
      <w:r>
        <w:rPr>
          <w:rFonts w:cs="Calibri"/>
          <w:color w:val="595959"/>
          <w:sz w:val="16"/>
          <w:szCs w:val="16"/>
        </w:rPr>
        <w:t>Объем</w:t>
      </w:r>
      <w:r w:rsidRPr="00BC6924">
        <w:rPr>
          <w:rFonts w:cs="Calibri"/>
          <w:color w:val="595959"/>
          <w:sz w:val="16"/>
          <w:szCs w:val="16"/>
        </w:rPr>
        <w:t xml:space="preserve"> предложения </w:t>
      </w:r>
      <w:r>
        <w:rPr>
          <w:rFonts w:cs="Calibri"/>
          <w:color w:val="595959"/>
          <w:sz w:val="16"/>
          <w:szCs w:val="16"/>
        </w:rPr>
        <w:t xml:space="preserve">жилья в </w:t>
      </w:r>
      <w:r w:rsidRPr="00F61464">
        <w:rPr>
          <w:rFonts w:cs="Calibri"/>
          <w:color w:val="595959"/>
          <w:sz w:val="16"/>
          <w:szCs w:val="16"/>
        </w:rPr>
        <w:t xml:space="preserve">Воронеже соответствует платежеспособному спросу. </w:t>
      </w:r>
      <w:r w:rsidRPr="00F61464">
        <w:rPr>
          <w:rFonts w:cs="Tahoma"/>
          <w:color w:val="595959"/>
          <w:sz w:val="16"/>
          <w:szCs w:val="16"/>
        </w:rPr>
        <w:t xml:space="preserve">Небольшое превалирование спроса над предложением касается, в основном, ликвидного жилья </w:t>
      </w:r>
      <w:proofErr w:type="gramStart"/>
      <w:r w:rsidRPr="00F61464">
        <w:rPr>
          <w:rFonts w:cs="Tahoma"/>
          <w:color w:val="595959"/>
          <w:sz w:val="16"/>
          <w:szCs w:val="16"/>
        </w:rPr>
        <w:t>эконом-класса</w:t>
      </w:r>
      <w:proofErr w:type="gramEnd"/>
      <w:r>
        <w:rPr>
          <w:rFonts w:cs="Tahoma"/>
          <w:color w:val="595959"/>
          <w:sz w:val="16"/>
          <w:szCs w:val="16"/>
        </w:rPr>
        <w:t>.</w:t>
      </w:r>
      <w:r w:rsidR="002F5173">
        <w:rPr>
          <w:rFonts w:cs="Tahoma"/>
          <w:color w:val="595959"/>
          <w:sz w:val="16"/>
          <w:szCs w:val="16"/>
        </w:rPr>
        <w:t xml:space="preserve"> Структурная и ценовая ситуация на рынке </w:t>
      </w:r>
      <w:r w:rsidR="00154857">
        <w:rPr>
          <w:rFonts w:cs="Tahoma"/>
          <w:color w:val="595959"/>
          <w:sz w:val="16"/>
          <w:szCs w:val="16"/>
        </w:rPr>
        <w:t>остаётся</w:t>
      </w:r>
      <w:r w:rsidR="00FC6FAA">
        <w:rPr>
          <w:rFonts w:cs="Tahoma"/>
          <w:color w:val="595959"/>
          <w:sz w:val="16"/>
          <w:szCs w:val="16"/>
        </w:rPr>
        <w:t xml:space="preserve"> в </w:t>
      </w:r>
      <w:r w:rsidR="006D612D">
        <w:rPr>
          <w:rFonts w:cs="Tahoma"/>
          <w:color w:val="595959"/>
          <w:sz w:val="16"/>
          <w:szCs w:val="16"/>
        </w:rPr>
        <w:t xml:space="preserve">уже </w:t>
      </w:r>
      <w:r w:rsidR="00FC6FAA">
        <w:rPr>
          <w:rFonts w:cs="Tahoma"/>
          <w:color w:val="595959"/>
          <w:sz w:val="16"/>
          <w:szCs w:val="16"/>
        </w:rPr>
        <w:t>привычно</w:t>
      </w:r>
      <w:r w:rsidR="00154857">
        <w:rPr>
          <w:rFonts w:cs="Tahoma"/>
          <w:color w:val="595959"/>
          <w:sz w:val="16"/>
          <w:szCs w:val="16"/>
        </w:rPr>
        <w:t>м</w:t>
      </w:r>
      <w:r w:rsidR="00FC6FAA">
        <w:rPr>
          <w:rFonts w:cs="Tahoma"/>
          <w:color w:val="595959"/>
          <w:sz w:val="16"/>
          <w:szCs w:val="16"/>
        </w:rPr>
        <w:t xml:space="preserve"> стабильно</w:t>
      </w:r>
      <w:r w:rsidR="00154857">
        <w:rPr>
          <w:rFonts w:cs="Tahoma"/>
          <w:color w:val="595959"/>
          <w:sz w:val="16"/>
          <w:szCs w:val="16"/>
        </w:rPr>
        <w:t>м</w:t>
      </w:r>
      <w:r w:rsidR="00FC6FAA">
        <w:rPr>
          <w:rFonts w:cs="Tahoma"/>
          <w:color w:val="595959"/>
          <w:sz w:val="16"/>
          <w:szCs w:val="16"/>
        </w:rPr>
        <w:t xml:space="preserve"> </w:t>
      </w:r>
      <w:r w:rsidR="00154857">
        <w:rPr>
          <w:rFonts w:cs="Tahoma"/>
          <w:color w:val="595959"/>
          <w:sz w:val="16"/>
          <w:szCs w:val="16"/>
        </w:rPr>
        <w:t>состоянии</w:t>
      </w:r>
      <w:r w:rsidR="002F5173">
        <w:rPr>
          <w:rFonts w:cs="Tahoma"/>
          <w:color w:val="595959"/>
          <w:sz w:val="16"/>
          <w:szCs w:val="16"/>
        </w:rPr>
        <w:t>.</w:t>
      </w:r>
    </w:p>
    <w:p w:rsidR="009D6309" w:rsidRDefault="009D6309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 w:rsidRPr="00D75113">
        <w:rPr>
          <w:rFonts w:ascii="Verdana" w:hAnsi="Verdana"/>
          <w:b/>
          <w:color w:val="E36C0A"/>
          <w:sz w:val="16"/>
          <w:szCs w:val="16"/>
        </w:rPr>
        <w:t xml:space="preserve">Рисунок </w: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begin"/>
      </w:r>
      <w:r w:rsidRPr="00D75113">
        <w:rPr>
          <w:rFonts w:ascii="Verdana" w:hAnsi="Verdana"/>
          <w:b/>
          <w:color w:val="E36C0A"/>
          <w:sz w:val="16"/>
          <w:szCs w:val="16"/>
        </w:rPr>
        <w:instrText xml:space="preserve"> SEQ Рисунок \* ARABIC </w:instrTex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separate"/>
      </w:r>
      <w:r w:rsidRPr="00D75113">
        <w:rPr>
          <w:rFonts w:ascii="Verdana" w:hAnsi="Verdana"/>
          <w:b/>
          <w:noProof/>
          <w:color w:val="E36C0A"/>
          <w:sz w:val="16"/>
          <w:szCs w:val="16"/>
        </w:rPr>
        <w:t>3</w: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end"/>
      </w:r>
      <w:r w:rsidRPr="00D75113">
        <w:rPr>
          <w:rFonts w:ascii="Verdana" w:hAnsi="Verdana"/>
          <w:b/>
          <w:color w:val="E36C0A"/>
          <w:sz w:val="16"/>
          <w:szCs w:val="16"/>
        </w:rPr>
        <w:t>.</w:t>
      </w:r>
      <w:r w:rsidRPr="00D75113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="00D96B88" w:rsidRPr="00D75113">
        <w:rPr>
          <w:rFonts w:ascii="Verdana" w:hAnsi="Verdana"/>
          <w:b/>
          <w:color w:val="595959"/>
          <w:sz w:val="16"/>
          <w:szCs w:val="16"/>
        </w:rPr>
        <w:t xml:space="preserve">Динамика </w:t>
      </w:r>
      <w:r w:rsidR="00D96B88">
        <w:rPr>
          <w:rFonts w:ascii="Verdana" w:hAnsi="Verdana"/>
          <w:b/>
          <w:color w:val="595959"/>
          <w:sz w:val="16"/>
          <w:szCs w:val="16"/>
        </w:rPr>
        <w:t xml:space="preserve">средней удельной </w:t>
      </w:r>
      <w:r w:rsidR="00D96B88" w:rsidRPr="00D75113">
        <w:rPr>
          <w:rFonts w:ascii="Verdana" w:hAnsi="Verdana"/>
          <w:b/>
          <w:color w:val="595959"/>
          <w:sz w:val="16"/>
          <w:szCs w:val="16"/>
        </w:rPr>
        <w:t>цен</w:t>
      </w:r>
      <w:r w:rsidR="00D96B88">
        <w:rPr>
          <w:rFonts w:ascii="Verdana" w:hAnsi="Verdana"/>
          <w:b/>
          <w:color w:val="595959"/>
          <w:sz w:val="16"/>
          <w:szCs w:val="16"/>
        </w:rPr>
        <w:t>ы</w:t>
      </w:r>
      <w:r w:rsidR="00D96B88" w:rsidRPr="00D75113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="00D96B88">
        <w:rPr>
          <w:rFonts w:ascii="Verdana" w:hAnsi="Verdana"/>
          <w:b/>
          <w:color w:val="595959"/>
          <w:sz w:val="16"/>
          <w:szCs w:val="16"/>
        </w:rPr>
        <w:t xml:space="preserve">предложения </w:t>
      </w:r>
      <w:r w:rsidR="00D96B88"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квартир 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Воронежа за </w:t>
      </w:r>
      <w:r w:rsidR="000E4A3C">
        <w:rPr>
          <w:rFonts w:ascii="Verdana" w:hAnsi="Verdana" w:cs="Tahoma"/>
          <w:b/>
          <w:bCs/>
          <w:color w:val="595959"/>
          <w:sz w:val="16"/>
          <w:szCs w:val="16"/>
        </w:rPr>
        <w:t>август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2012г. – </w:t>
      </w:r>
      <w:r w:rsidR="000E4A3C">
        <w:rPr>
          <w:rFonts w:ascii="Verdana" w:hAnsi="Verdana" w:cs="Tahoma"/>
          <w:b/>
          <w:bCs/>
          <w:color w:val="595959"/>
          <w:sz w:val="16"/>
          <w:szCs w:val="16"/>
        </w:rPr>
        <w:t>август</w:t>
      </w:r>
      <w:r w:rsidR="000E4A3C"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>2014г.</w:t>
      </w:r>
      <w:r w:rsidRPr="0076094E">
        <w:rPr>
          <w:rFonts w:ascii="Verdana" w:hAnsi="Verdana" w:cs="Tahoma"/>
          <w:b/>
          <w:bCs/>
          <w:color w:val="595959"/>
          <w:sz w:val="16"/>
          <w:szCs w:val="16"/>
        </w:rPr>
        <w:t xml:space="preserve"> </w:t>
      </w:r>
    </w:p>
    <w:p w:rsidR="009D6309" w:rsidRDefault="000E4A3C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>
        <w:rPr>
          <w:rFonts w:ascii="Verdana" w:hAnsi="Verdana" w:cs="Tahoma"/>
          <w:b/>
          <w:bCs/>
          <w:noProof/>
          <w:color w:val="595959"/>
          <w:sz w:val="16"/>
          <w:szCs w:val="16"/>
          <w:lang w:eastAsia="ru-RU"/>
        </w:rPr>
        <w:drawing>
          <wp:inline distT="0" distB="0" distL="0" distR="0" wp14:anchorId="7BA22ECE">
            <wp:extent cx="5018536" cy="276705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75" cy="277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309" w:rsidRDefault="009D6309" w:rsidP="009D6309">
      <w:pPr>
        <w:spacing w:after="60"/>
        <w:rPr>
          <w:rFonts w:ascii="Verdana" w:eastAsia="Times New Roman" w:hAnsi="Verdana" w:cs="Tahoma"/>
          <w:i/>
          <w:color w:val="595959"/>
          <w:sz w:val="14"/>
          <w:szCs w:val="14"/>
        </w:rPr>
      </w:pPr>
      <w:r w:rsidRPr="005269FC">
        <w:rPr>
          <w:rFonts w:ascii="Verdana" w:eastAsia="Times New Roman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eastAsia="Times New Roman" w:hAnsi="Verdana" w:cs="Tahoma"/>
          <w:i/>
          <w:color w:val="595959"/>
          <w:sz w:val="14"/>
          <w:szCs w:val="14"/>
        </w:rPr>
        <w:t>: ИнвестОценка</w:t>
      </w:r>
    </w:p>
    <w:p w:rsidR="007D2E36" w:rsidRDefault="0085174A" w:rsidP="007D2E36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sz w:val="16"/>
          <w:szCs w:val="16"/>
        </w:rPr>
      </w:pPr>
      <w:r w:rsidRPr="00065EE8">
        <w:rPr>
          <w:color w:val="595959"/>
          <w:sz w:val="16"/>
          <w:szCs w:val="16"/>
        </w:rPr>
        <w:t xml:space="preserve">За </w:t>
      </w:r>
      <w:r w:rsidR="000E4A3C">
        <w:rPr>
          <w:rFonts w:cs="Tahoma"/>
          <w:color w:val="595959"/>
          <w:sz w:val="16"/>
          <w:szCs w:val="16"/>
        </w:rPr>
        <w:t>август</w:t>
      </w:r>
      <w:r w:rsidRPr="00065EE8">
        <w:rPr>
          <w:rFonts w:cs="Tahoma"/>
          <w:color w:val="595959"/>
          <w:sz w:val="16"/>
          <w:szCs w:val="16"/>
        </w:rPr>
        <w:t xml:space="preserve"> </w:t>
      </w:r>
      <w:r w:rsidR="00C65B38" w:rsidRPr="008368AE">
        <w:rPr>
          <w:color w:val="595959"/>
          <w:sz w:val="16"/>
          <w:szCs w:val="16"/>
        </w:rPr>
        <w:t>средневзвешенная</w:t>
      </w:r>
      <w:r w:rsidR="00C65B38">
        <w:rPr>
          <w:color w:val="595959"/>
          <w:sz w:val="16"/>
          <w:szCs w:val="16"/>
        </w:rPr>
        <w:t xml:space="preserve"> удельная</w:t>
      </w:r>
      <w:r w:rsidR="00C65B38" w:rsidRPr="008368AE">
        <w:rPr>
          <w:color w:val="595959"/>
          <w:sz w:val="16"/>
          <w:szCs w:val="16"/>
        </w:rPr>
        <w:t xml:space="preserve"> цена предложения </w:t>
      </w:r>
      <w:r w:rsidRPr="00065EE8">
        <w:rPr>
          <w:color w:val="595959"/>
          <w:sz w:val="16"/>
          <w:szCs w:val="16"/>
        </w:rPr>
        <w:t xml:space="preserve">квартир </w:t>
      </w:r>
      <w:r w:rsidR="00A35112">
        <w:rPr>
          <w:color w:val="595959"/>
          <w:sz w:val="16"/>
          <w:szCs w:val="16"/>
        </w:rPr>
        <w:t>выросла</w:t>
      </w:r>
      <w:r w:rsidRPr="00065EE8">
        <w:rPr>
          <w:color w:val="595959"/>
          <w:sz w:val="16"/>
          <w:szCs w:val="16"/>
        </w:rPr>
        <w:t xml:space="preserve"> на </w:t>
      </w:r>
      <w:r w:rsidR="00154857">
        <w:rPr>
          <w:color w:val="595959"/>
          <w:sz w:val="16"/>
          <w:szCs w:val="16"/>
        </w:rPr>
        <w:t>0</w:t>
      </w:r>
      <w:r w:rsidR="00A22202" w:rsidRPr="00065EE8">
        <w:rPr>
          <w:color w:val="595959"/>
          <w:sz w:val="16"/>
          <w:szCs w:val="16"/>
        </w:rPr>
        <w:t>,</w:t>
      </w:r>
      <w:r w:rsidR="00A35112">
        <w:rPr>
          <w:color w:val="595959"/>
          <w:sz w:val="16"/>
          <w:szCs w:val="16"/>
        </w:rPr>
        <w:t>90</w:t>
      </w:r>
      <w:r w:rsidR="00DD4F6D" w:rsidRPr="00065EE8">
        <w:rPr>
          <w:color w:val="595959"/>
          <w:sz w:val="16"/>
          <w:szCs w:val="16"/>
        </w:rPr>
        <w:t>%</w:t>
      </w:r>
      <w:r w:rsidRPr="00065EE8">
        <w:rPr>
          <w:color w:val="595959"/>
          <w:sz w:val="16"/>
          <w:szCs w:val="16"/>
        </w:rPr>
        <w:t xml:space="preserve">, составив </w:t>
      </w:r>
      <w:r w:rsidR="00A22202" w:rsidRPr="00065EE8">
        <w:rPr>
          <w:color w:val="595959"/>
          <w:sz w:val="16"/>
          <w:szCs w:val="16"/>
        </w:rPr>
        <w:t>4</w:t>
      </w:r>
      <w:r w:rsidR="007C0A62">
        <w:rPr>
          <w:color w:val="595959"/>
          <w:sz w:val="16"/>
          <w:szCs w:val="16"/>
        </w:rPr>
        <w:t>9</w:t>
      </w:r>
      <w:r w:rsidR="00557E7E" w:rsidRPr="00065EE8">
        <w:rPr>
          <w:color w:val="595959"/>
          <w:sz w:val="16"/>
          <w:szCs w:val="16"/>
        </w:rPr>
        <w:t xml:space="preserve"> </w:t>
      </w:r>
      <w:r w:rsidR="007C0A62">
        <w:rPr>
          <w:color w:val="595959"/>
          <w:sz w:val="16"/>
          <w:szCs w:val="16"/>
        </w:rPr>
        <w:t>21</w:t>
      </w:r>
      <w:r w:rsidR="003C0BF9">
        <w:rPr>
          <w:color w:val="595959"/>
          <w:sz w:val="16"/>
          <w:szCs w:val="16"/>
        </w:rPr>
        <w:t>8</w:t>
      </w:r>
      <w:r w:rsidRPr="00065EE8">
        <w:rPr>
          <w:color w:val="595959"/>
          <w:sz w:val="16"/>
          <w:szCs w:val="16"/>
        </w:rPr>
        <w:t xml:space="preserve"> руб./кв. м.</w:t>
      </w:r>
      <w:r w:rsidR="00572299" w:rsidRPr="00F826FD">
        <w:rPr>
          <w:color w:val="595959"/>
          <w:sz w:val="16"/>
          <w:szCs w:val="16"/>
        </w:rPr>
        <w:t xml:space="preserve"> </w:t>
      </w:r>
      <w:r w:rsidR="00A35112">
        <w:rPr>
          <w:color w:val="595959"/>
          <w:sz w:val="16"/>
          <w:szCs w:val="16"/>
        </w:rPr>
        <w:t>С начала года рост цен н</w:t>
      </w:r>
      <w:r w:rsidR="00742C50">
        <w:rPr>
          <w:color w:val="595959"/>
          <w:sz w:val="16"/>
          <w:szCs w:val="16"/>
        </w:rPr>
        <w:t>а жилье в Воронеже составил 5,1</w:t>
      </w:r>
      <w:r w:rsidR="00A35112">
        <w:rPr>
          <w:color w:val="595959"/>
          <w:sz w:val="16"/>
          <w:szCs w:val="16"/>
        </w:rPr>
        <w:t xml:space="preserve">%. </w:t>
      </w:r>
    </w:p>
    <w:p w:rsidR="00572299" w:rsidRPr="00572299" w:rsidRDefault="00572299" w:rsidP="00434492">
      <w:pPr>
        <w:pStyle w:val="a4"/>
        <w:shd w:val="clear" w:color="auto" w:fill="FFFFFF"/>
        <w:spacing w:before="0" w:beforeAutospacing="0" w:after="60" w:afterAutospacing="0" w:line="213" w:lineRule="atLeast"/>
        <w:jc w:val="both"/>
        <w:rPr>
          <w:rFonts w:cs="Tahoma"/>
          <w:i/>
          <w:color w:val="595959"/>
        </w:rPr>
        <w:sectPr w:rsidR="00572299" w:rsidRPr="00572299" w:rsidSect="00E16075">
          <w:footerReference w:type="default" r:id="rId22"/>
          <w:type w:val="continuous"/>
          <w:pgSz w:w="11906" w:h="16838" w:code="9"/>
          <w:pgMar w:top="1134" w:right="709" w:bottom="1134" w:left="1701" w:header="709" w:footer="526" w:gutter="0"/>
          <w:cols w:space="708"/>
          <w:titlePg/>
          <w:docGrid w:linePitch="360"/>
        </w:sectPr>
      </w:pPr>
    </w:p>
    <w:p w:rsidR="0085174A" w:rsidRDefault="0085174A" w:rsidP="0085174A">
      <w:pPr>
        <w:pStyle w:val="ab"/>
        <w:spacing w:before="120" w:after="60" w:line="276" w:lineRule="auto"/>
        <w:ind w:right="-143"/>
        <w:rPr>
          <w:rFonts w:ascii="Verdana" w:hAnsi="Verdana"/>
          <w:color w:val="595959"/>
          <w:sz w:val="16"/>
          <w:szCs w:val="16"/>
        </w:rPr>
      </w:pPr>
      <w:r w:rsidRPr="006F105C">
        <w:rPr>
          <w:rFonts w:ascii="Verdana" w:hAnsi="Verdana"/>
          <w:color w:val="E36C0A"/>
          <w:sz w:val="16"/>
          <w:szCs w:val="16"/>
        </w:rPr>
        <w:lastRenderedPageBreak/>
        <w:t xml:space="preserve">Таблица </w: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6F105C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 w:rsidRPr="006F105C">
        <w:rPr>
          <w:rFonts w:ascii="Verdana" w:hAnsi="Verdana"/>
          <w:noProof/>
          <w:color w:val="E36C0A"/>
          <w:sz w:val="16"/>
          <w:szCs w:val="16"/>
        </w:rPr>
        <w:t>2</w: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6F105C">
        <w:rPr>
          <w:rFonts w:ascii="Verdana" w:hAnsi="Verdana"/>
          <w:color w:val="E36C0A"/>
          <w:sz w:val="16"/>
          <w:szCs w:val="16"/>
        </w:rPr>
        <w:t>.</w:t>
      </w:r>
      <w:r w:rsidRPr="006F105C">
        <w:rPr>
          <w:rFonts w:ascii="Verdana" w:hAnsi="Verdana"/>
          <w:sz w:val="16"/>
          <w:szCs w:val="16"/>
        </w:rPr>
        <w:t xml:space="preserve"> </w:t>
      </w:r>
      <w:r w:rsidRPr="006F105C">
        <w:rPr>
          <w:rFonts w:ascii="Verdana" w:hAnsi="Verdana"/>
          <w:color w:val="595959"/>
          <w:sz w:val="16"/>
          <w:szCs w:val="16"/>
        </w:rPr>
        <w:t xml:space="preserve">Дискретная пространственно-параметрическая модель рынка предложения жилой недвижимости (квартир) Воронежа на конец </w:t>
      </w:r>
      <w:r w:rsidR="000E4A3C">
        <w:rPr>
          <w:rFonts w:ascii="Verdana" w:hAnsi="Verdana"/>
          <w:color w:val="595959"/>
          <w:sz w:val="16"/>
          <w:szCs w:val="16"/>
        </w:rPr>
        <w:t>августа</w:t>
      </w:r>
      <w:r w:rsidRPr="006F105C">
        <w:rPr>
          <w:rFonts w:ascii="Verdana" w:hAnsi="Verdana"/>
          <w:color w:val="595959"/>
          <w:sz w:val="16"/>
          <w:szCs w:val="16"/>
        </w:rPr>
        <w:t xml:space="preserve"> 201</w:t>
      </w:r>
      <w:r w:rsidR="002404A2" w:rsidRPr="006F105C">
        <w:rPr>
          <w:rFonts w:ascii="Verdana" w:hAnsi="Verdana"/>
          <w:color w:val="595959"/>
          <w:sz w:val="16"/>
          <w:szCs w:val="16"/>
        </w:rPr>
        <w:t>4</w:t>
      </w:r>
      <w:r w:rsidRPr="006F105C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15147" w:type="dxa"/>
        <w:tblInd w:w="10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0"/>
        <w:gridCol w:w="1843"/>
        <w:gridCol w:w="1559"/>
        <w:gridCol w:w="1701"/>
        <w:gridCol w:w="1559"/>
        <w:gridCol w:w="1133"/>
        <w:gridCol w:w="1134"/>
        <w:gridCol w:w="1134"/>
        <w:gridCol w:w="1134"/>
        <w:gridCol w:w="1200"/>
        <w:gridCol w:w="760"/>
      </w:tblGrid>
      <w:tr w:rsidR="00815EB5" w:rsidRPr="00815EB5" w:rsidTr="00815EB5">
        <w:trPr>
          <w:trHeight w:val="280"/>
        </w:trPr>
        <w:tc>
          <w:tcPr>
            <w:tcW w:w="1990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Классификационный признак</w:t>
            </w:r>
          </w:p>
        </w:tc>
        <w:tc>
          <w:tcPr>
            <w:tcW w:w="184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Количество экспонируемых объектов, шт.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C65B38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Средняя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удельная 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цена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предложения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bookmarkStart w:id="0" w:name="_GoBack"/>
            <w:bookmarkEnd w:id="0"/>
            <w:proofErr w:type="gramEnd"/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Среднеквадра</w:t>
            </w:r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тическое отклонение, руб./кв</w:t>
            </w:r>
            <w:proofErr w:type="gramStart"/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Минимум,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Медиана,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Мода,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Максимум,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960" w:type="dxa"/>
            <w:gridSpan w:val="2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Погрешность</w:t>
            </w:r>
          </w:p>
        </w:tc>
      </w:tr>
      <w:tr w:rsidR="00815EB5" w:rsidRPr="00815EB5" w:rsidTr="00815EB5">
        <w:trPr>
          <w:trHeight w:val="280"/>
        </w:trPr>
        <w:tc>
          <w:tcPr>
            <w:tcW w:w="1990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76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  <w:t>В среднем по городу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В среднем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3 619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49 217,7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6 275,4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48 181,8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208,7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b/>
                <w:color w:val="595959" w:themeColor="text1" w:themeTint="A6"/>
                <w:sz w:val="14"/>
                <w:szCs w:val="14"/>
              </w:rPr>
              <w:t>0,4%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Количество комнат</w:t>
            </w: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комната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1 384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51 898,1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5 735,9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31 818,2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51 048,1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308,5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1 313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48 335,2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5 974,4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47 089,9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103 333,3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329,9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46 760,7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6 189,2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28 289,5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45 286,2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103 000,0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435,7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и более комнат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44 255,6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6 955,9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42 505,6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72 333,3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1 308,7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3,0%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Районы расположения</w:t>
            </w: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Железнодорожный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48 155,8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5 802,2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31 818,2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77 272,7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492,1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1,0%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Коминтерновский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1319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48 077,9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5 560,9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28 750,0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47 595,8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85 876,5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306,4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Левобережный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48 017,7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6 203,3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28 289,5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42 857,1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87 931,0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615,7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1,3%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Ленинский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53 930,2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7 487,2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53 409,1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89 661,0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861,7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1,6%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Советский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47 750,8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5 093,9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31 290,3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47 201,6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85 483,9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439,6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Центральный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53 146,4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7 823,0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51 042,1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703,9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1,3%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Материал стен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1782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50 665,5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6 983,3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49 660,9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330,9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Монолит и монолит-кирпич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47 965,6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7 004,3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31 290,3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46 578,3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107 142,9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526,5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Панель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1128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47 717,6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4 390,1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31 632,7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47 342,4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73 333,3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261,5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Новизна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Вторичка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2457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50 570,7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6 339,0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255,8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Новостройки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1162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46 357,0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5 286,9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31 290,3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45 555,6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100 000,0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310,3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Типажи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Брежневка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381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48 897,1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5 402,1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28 289,5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48 888,9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77 272,7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554,2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Современная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2139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49 635,3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6 856,2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28 750,0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48 112,3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296,6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Сталинка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48 296,9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7 864,7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29 545,5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47 142,9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33 333,3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103 333,3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1 401,3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2,9%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Хрущевка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48 587,3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5 687,4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27 735,8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47 795,1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85 483,9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619,6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1,3%</w:t>
            </w:r>
          </w:p>
        </w:tc>
      </w:tr>
      <w:tr w:rsidR="007C0A62" w:rsidRPr="00815EB5" w:rsidTr="007C0A62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7C0A62" w:rsidRPr="00815EB5" w:rsidRDefault="007C0A62" w:rsidP="00FA3DDF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C0A62" w:rsidRPr="00C629FB" w:rsidRDefault="007C0A62" w:rsidP="00FA3DDF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Чешка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634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48 522,3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4 924,5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31 632,7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48 449,5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89 189,2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391,5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7C0A62" w:rsidRPr="007C0A62" w:rsidRDefault="007C0A62" w:rsidP="007C0A62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7C0A62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0,8%</w:t>
            </w:r>
          </w:p>
        </w:tc>
      </w:tr>
    </w:tbl>
    <w:p w:rsidR="0085174A" w:rsidRDefault="0085174A" w:rsidP="006A0F4D">
      <w:pPr>
        <w:spacing w:before="120" w:after="60"/>
        <w:ind w:right="-143"/>
        <w:rPr>
          <w:rFonts w:ascii="Verdana" w:hAnsi="Verdana" w:cs="FuturaFuturisLightC"/>
          <w:b/>
          <w:color w:val="595959"/>
          <w:sz w:val="14"/>
          <w:szCs w:val="14"/>
          <w:u w:val="single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color w:val="595959"/>
          <w:sz w:val="14"/>
          <w:szCs w:val="14"/>
          <w:u w:val="single"/>
        </w:rPr>
        <w:sectPr w:rsidR="0085174A" w:rsidSect="00F31452">
          <w:headerReference w:type="default" r:id="rId23"/>
          <w:pgSz w:w="16838" w:h="11906" w:orient="landscape" w:code="9"/>
          <w:pgMar w:top="1701" w:right="539" w:bottom="709" w:left="1134" w:header="709" w:footer="709" w:gutter="0"/>
          <w:cols w:space="708"/>
          <w:titlePg/>
          <w:docGrid w:linePitch="360"/>
        </w:sectPr>
      </w:pPr>
    </w:p>
    <w:p w:rsidR="0085174A" w:rsidRPr="00FD0F4F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i/>
          <w:color w:val="E36C0A"/>
        </w:rPr>
      </w:pPr>
      <w:r w:rsidRPr="00FD0F4F">
        <w:rPr>
          <w:rFonts w:ascii="Verdana" w:hAnsi="Verdana" w:cs="FuturaFuturisLightC"/>
          <w:b/>
          <w:i/>
          <w:color w:val="E36C0A"/>
        </w:rPr>
        <w:lastRenderedPageBreak/>
        <w:t>Заявление об ограничении ответственности</w:t>
      </w:r>
    </w:p>
    <w:p w:rsidR="0085174A" w:rsidRPr="006A77ED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Tahoma"/>
          <w:color w:val="595959"/>
          <w:sz w:val="14"/>
          <w:szCs w:val="14"/>
        </w:rPr>
      </w:pP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Информация, содержащаяся в настоящем Обзоре, основана на достоверных, по мнению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i/>
          <w:color w:val="595959"/>
          <w:sz w:val="14"/>
          <w:szCs w:val="14"/>
        </w:rPr>
        <w:t>,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данных. Несмотря на все предпринятые меры обеспечить достоверность содержащейся в Обзоре информации,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гарантировать того, что в нем отсутствуют фактические неточности. 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Информация, содержащаяся в Обзоре, не может служить основанием для привлечения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 к юридической ответственности.</w:t>
      </w:r>
    </w:p>
    <w:p w:rsidR="0085174A" w:rsidRPr="006A77ED" w:rsidRDefault="0085174A" w:rsidP="0085174A">
      <w:pPr>
        <w:spacing w:after="60"/>
        <w:ind w:left="-142" w:right="-143"/>
        <w:jc w:val="both"/>
        <w:rPr>
          <w:rFonts w:ascii="Verdana" w:hAnsi="Verdana" w:cs="Arial"/>
          <w:color w:val="595959"/>
          <w:sz w:val="14"/>
          <w:szCs w:val="14"/>
        </w:rPr>
      </w:pPr>
      <w:r w:rsidRPr="006A77ED">
        <w:rPr>
          <w:rFonts w:ascii="Verdana" w:hAnsi="Verdana" w:cs="ArialMT"/>
          <w:b/>
          <w:color w:val="595959"/>
          <w:sz w:val="14"/>
          <w:szCs w:val="14"/>
        </w:rPr>
        <w:t>Все права защищены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Настоящий Обзор подготовлен </w:t>
      </w:r>
      <w:r w:rsidRPr="006A77ED">
        <w:rPr>
          <w:rFonts w:ascii="Verdana" w:hAnsi="Verdana" w:cs="Arial-ItalicMT"/>
          <w:iCs/>
          <w:color w:val="595959"/>
          <w:sz w:val="14"/>
          <w:szCs w:val="14"/>
        </w:rPr>
        <w:t xml:space="preserve">на основании результатов собственных исследований </w:t>
      </w:r>
      <w:r w:rsidRPr="006A77ED">
        <w:rPr>
          <w:rFonts w:ascii="Verdana" w:hAnsi="Verdana" w:cs="Arial-ItalicMT"/>
          <w:b/>
          <w:i/>
          <w:iCs/>
          <w:color w:val="595959"/>
          <w:sz w:val="14"/>
          <w:szCs w:val="14"/>
        </w:rPr>
        <w:t xml:space="preserve">компании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Arial-ItalicMT"/>
          <w:i/>
          <w:iCs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для ее клиентов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исключительно в информационных целях</w:t>
      </w:r>
      <w:r w:rsidRPr="006A77ED">
        <w:rPr>
          <w:rFonts w:ascii="Verdana" w:hAnsi="Verdana" w:cs="Arial"/>
          <w:color w:val="595959"/>
          <w:sz w:val="14"/>
          <w:szCs w:val="14"/>
        </w:rPr>
        <w:t>. С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одержание Обзора является собственностью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Ни одна из частей настоящего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Обзора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быть воспроизведена или передана ни в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какой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форме и никакими средствами без ссылки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.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При </w:t>
      </w:r>
      <w:r>
        <w:rPr>
          <w:rFonts w:ascii="Verdana" w:hAnsi="Verdana" w:cs="ArialMT"/>
          <w:color w:val="595959"/>
          <w:sz w:val="14"/>
          <w:szCs w:val="14"/>
        </w:rPr>
        <w:t xml:space="preserve">перепечатке и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цитировании материалов Обзора ссылка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обязательна.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    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 w:cs="FuturaFuturisLightC"/>
          <w:b/>
          <w:i/>
          <w:color w:val="595959"/>
          <w:sz w:val="14"/>
          <w:szCs w:val="14"/>
        </w:rPr>
        <w:t>К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</w:t>
      </w:r>
      <w:r w:rsidRPr="006A77ED">
        <w:rPr>
          <w:rFonts w:ascii="Verdana" w:hAnsi="Verdana"/>
          <w:bCs/>
          <w:color w:val="595959"/>
          <w:sz w:val="14"/>
          <w:szCs w:val="14"/>
        </w:rPr>
        <w:t>оставляет за собой право корректировать и обновлять данные</w:t>
      </w:r>
      <w:r>
        <w:rPr>
          <w:rFonts w:ascii="Verdana" w:hAnsi="Verdana"/>
          <w:bCs/>
          <w:color w:val="595959"/>
          <w:sz w:val="14"/>
          <w:szCs w:val="14"/>
        </w:rPr>
        <w:t xml:space="preserve"> настоящего Обзора</w:t>
      </w:r>
      <w:r w:rsidRPr="006A77ED">
        <w:rPr>
          <w:rFonts w:ascii="Verdana" w:hAnsi="Verdana"/>
          <w:bCs/>
          <w:color w:val="595959"/>
          <w:sz w:val="14"/>
          <w:szCs w:val="14"/>
        </w:rPr>
        <w:t xml:space="preserve"> в любое время и по своему усмотрению без уведомления.</w:t>
      </w:r>
    </w:p>
    <w:p w:rsidR="0085174A" w:rsidRPr="00721E6D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всем вопросам, а также с пожеланиями и комментариями вы можете обращаться</w:t>
      </w:r>
      <w:r w:rsidRPr="00E416AC">
        <w:rPr>
          <w:rFonts w:ascii="Verdana" w:hAnsi="Verdana"/>
          <w:bCs/>
          <w:color w:val="595959"/>
          <w:sz w:val="14"/>
          <w:szCs w:val="14"/>
        </w:rPr>
        <w:t>:</w:t>
      </w:r>
    </w:p>
    <w:p w:rsidR="0085174A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телефонам: +7 (473) 232-25-01, +7 (473)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  <w:r>
        <w:rPr>
          <w:rFonts w:ascii="Verdana" w:hAnsi="Verdana"/>
          <w:bCs/>
          <w:color w:val="595959"/>
          <w:sz w:val="14"/>
          <w:szCs w:val="14"/>
        </w:rPr>
        <w:t>253-12-53;</w:t>
      </w:r>
    </w:p>
    <w:p w:rsidR="0085174A" w:rsidRPr="00E416AC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 xml:space="preserve">по электронной 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почте: </w:t>
      </w:r>
      <w:hyperlink r:id="rId24" w:history="1">
        <w:r w:rsidRPr="00E416AC">
          <w:rPr>
            <w:rStyle w:val="a3"/>
            <w:rFonts w:ascii="Verdana" w:hAnsi="Verdana"/>
            <w:color w:val="595959"/>
            <w:sz w:val="14"/>
            <w:szCs w:val="14"/>
          </w:rPr>
          <w:t>info-vrn@investocenka.ru</w:t>
        </w:r>
      </w:hyperlink>
      <w:r w:rsidRPr="00E416AC">
        <w:rPr>
          <w:rFonts w:ascii="Verdana" w:hAnsi="Verdana"/>
          <w:color w:val="595959"/>
          <w:sz w:val="14"/>
          <w:szCs w:val="14"/>
        </w:rPr>
        <w:t>.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054AE4" w:rsidRDefault="00054AE4"/>
    <w:sectPr w:rsidR="00054AE4" w:rsidSect="00F3145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EE" w:rsidRDefault="005631EE" w:rsidP="00EA5483">
      <w:pPr>
        <w:spacing w:after="0" w:line="240" w:lineRule="auto"/>
      </w:pPr>
      <w:r>
        <w:separator/>
      </w:r>
    </w:p>
  </w:endnote>
  <w:endnote w:type="continuationSeparator" w:id="0">
    <w:p w:rsidR="005631EE" w:rsidRDefault="005631EE" w:rsidP="00EA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BT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Futuri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Pr="002404A2" w:rsidRDefault="00E67183" w:rsidP="00500E73">
    <w:pPr>
      <w:tabs>
        <w:tab w:val="center" w:pos="4677"/>
        <w:tab w:val="right" w:pos="9356"/>
      </w:tabs>
      <w:spacing w:before="20" w:after="20"/>
      <w:rPr>
        <w:rFonts w:ascii="Verdana" w:hAnsi="Verdana" w:cs="FuturaBT-Book"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E67183" w:rsidRPr="00715EF1" w:rsidRDefault="00E67183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D00798">
      <w:rPr>
        <w:rFonts w:ascii="Verdana" w:hAnsi="Verdana"/>
        <w:noProof/>
        <w:color w:val="E36C0A"/>
        <w:sz w:val="28"/>
        <w:szCs w:val="28"/>
      </w:rPr>
      <w:t>1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  <w:p w:rsidR="00E67183" w:rsidRDefault="00E671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Pr="004B4755" w:rsidRDefault="00E67183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E67183" w:rsidRPr="00715EF1" w:rsidRDefault="00E67183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C65B38">
      <w:rPr>
        <w:rFonts w:ascii="Verdana" w:hAnsi="Verdana"/>
        <w:noProof/>
        <w:color w:val="E36C0A"/>
        <w:sz w:val="28"/>
        <w:szCs w:val="28"/>
      </w:rPr>
      <w:t>4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Pr="004B4755" w:rsidRDefault="00E67183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E67183" w:rsidRPr="00715EF1" w:rsidRDefault="00E67183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C65B38">
      <w:rPr>
        <w:rFonts w:ascii="Verdana" w:hAnsi="Verdana"/>
        <w:noProof/>
        <w:color w:val="E36C0A"/>
        <w:sz w:val="28"/>
        <w:szCs w:val="28"/>
      </w:rPr>
      <w:t>3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EE" w:rsidRDefault="005631EE" w:rsidP="00EA5483">
      <w:pPr>
        <w:spacing w:after="0" w:line="240" w:lineRule="auto"/>
      </w:pPr>
      <w:r>
        <w:separator/>
      </w:r>
    </w:p>
  </w:footnote>
  <w:footnote w:type="continuationSeparator" w:id="0">
    <w:p w:rsidR="005631EE" w:rsidRDefault="005631EE" w:rsidP="00EA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Default="00E6718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-137160</wp:posOffset>
          </wp:positionV>
          <wp:extent cx="6193155" cy="1202055"/>
          <wp:effectExtent l="1905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155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Default="00E67183" w:rsidP="00F31452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1294130</wp:posOffset>
          </wp:positionV>
          <wp:extent cx="9760585" cy="62865"/>
          <wp:effectExtent l="19050" t="0" r="0" b="0"/>
          <wp:wrapSquare wrapText="bothSides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0585" cy="6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1094105</wp:posOffset>
          </wp:positionV>
          <wp:extent cx="3526790" cy="158750"/>
          <wp:effectExtent l="19050" t="0" r="0" b="0"/>
          <wp:wrapSquare wrapText="bothSides"/>
          <wp:docPr id="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259080</wp:posOffset>
          </wp:positionV>
          <wp:extent cx="1793240" cy="826770"/>
          <wp:effectExtent l="1905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186055</wp:posOffset>
          </wp:positionV>
          <wp:extent cx="4151630" cy="1066800"/>
          <wp:effectExtent l="19050" t="0" r="1270" b="0"/>
          <wp:wrapSquare wrapText="bothSides"/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83" w:rsidRDefault="00E67183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-132080</wp:posOffset>
          </wp:positionV>
          <wp:extent cx="6271895" cy="1216660"/>
          <wp:effectExtent l="19050" t="0" r="0" b="0"/>
          <wp:wrapSquare wrapText="bothSides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  <w:p w:rsidR="00E67183" w:rsidRDefault="00E671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2298"/>
    <w:multiLevelType w:val="hybridMultilevel"/>
    <w:tmpl w:val="8AAC910A"/>
    <w:lvl w:ilvl="0" w:tplc="AE0CA8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A"/>
    <w:rsid w:val="00000366"/>
    <w:rsid w:val="000024C6"/>
    <w:rsid w:val="000047F6"/>
    <w:rsid w:val="00004CAE"/>
    <w:rsid w:val="00015CCC"/>
    <w:rsid w:val="00017A6B"/>
    <w:rsid w:val="00020C71"/>
    <w:rsid w:val="00025480"/>
    <w:rsid w:val="00027397"/>
    <w:rsid w:val="00030779"/>
    <w:rsid w:val="0005114E"/>
    <w:rsid w:val="000537B1"/>
    <w:rsid w:val="00054AE4"/>
    <w:rsid w:val="00060416"/>
    <w:rsid w:val="000626F2"/>
    <w:rsid w:val="00063166"/>
    <w:rsid w:val="00065EE8"/>
    <w:rsid w:val="00072B9E"/>
    <w:rsid w:val="0007482E"/>
    <w:rsid w:val="00074C29"/>
    <w:rsid w:val="000757B6"/>
    <w:rsid w:val="00083CD8"/>
    <w:rsid w:val="00085094"/>
    <w:rsid w:val="0009087E"/>
    <w:rsid w:val="00091364"/>
    <w:rsid w:val="00091B5B"/>
    <w:rsid w:val="00095AC4"/>
    <w:rsid w:val="00097D04"/>
    <w:rsid w:val="000A4933"/>
    <w:rsid w:val="000A7783"/>
    <w:rsid w:val="000B18F2"/>
    <w:rsid w:val="000B313E"/>
    <w:rsid w:val="000B6813"/>
    <w:rsid w:val="000B6BB2"/>
    <w:rsid w:val="000B70CD"/>
    <w:rsid w:val="000C0467"/>
    <w:rsid w:val="000C0B72"/>
    <w:rsid w:val="000C13DB"/>
    <w:rsid w:val="000C719F"/>
    <w:rsid w:val="000C7ED3"/>
    <w:rsid w:val="000C7FE9"/>
    <w:rsid w:val="000D7BF5"/>
    <w:rsid w:val="000E3A94"/>
    <w:rsid w:val="000E4A3C"/>
    <w:rsid w:val="000E7B3B"/>
    <w:rsid w:val="000F0B1D"/>
    <w:rsid w:val="000F61EC"/>
    <w:rsid w:val="000F63AD"/>
    <w:rsid w:val="000F6D83"/>
    <w:rsid w:val="000F7D42"/>
    <w:rsid w:val="0010540A"/>
    <w:rsid w:val="00105B0B"/>
    <w:rsid w:val="0010604C"/>
    <w:rsid w:val="0011028B"/>
    <w:rsid w:val="0011251A"/>
    <w:rsid w:val="001211DE"/>
    <w:rsid w:val="0012136E"/>
    <w:rsid w:val="0012223E"/>
    <w:rsid w:val="00122543"/>
    <w:rsid w:val="00126274"/>
    <w:rsid w:val="00133943"/>
    <w:rsid w:val="001414EA"/>
    <w:rsid w:val="00144E4C"/>
    <w:rsid w:val="00150860"/>
    <w:rsid w:val="00152083"/>
    <w:rsid w:val="00154857"/>
    <w:rsid w:val="0015572B"/>
    <w:rsid w:val="00160D6A"/>
    <w:rsid w:val="00170052"/>
    <w:rsid w:val="0017297C"/>
    <w:rsid w:val="001747A0"/>
    <w:rsid w:val="00181BB7"/>
    <w:rsid w:val="0019106B"/>
    <w:rsid w:val="00191806"/>
    <w:rsid w:val="00192886"/>
    <w:rsid w:val="00192E8E"/>
    <w:rsid w:val="001A353F"/>
    <w:rsid w:val="001A6E71"/>
    <w:rsid w:val="001B2DD0"/>
    <w:rsid w:val="001B4479"/>
    <w:rsid w:val="001C0A4D"/>
    <w:rsid w:val="001C30C5"/>
    <w:rsid w:val="001C692D"/>
    <w:rsid w:val="001C7DA8"/>
    <w:rsid w:val="001D548A"/>
    <w:rsid w:val="001D588A"/>
    <w:rsid w:val="001D5A67"/>
    <w:rsid w:val="001D5B3F"/>
    <w:rsid w:val="001E2C69"/>
    <w:rsid w:val="001E48CC"/>
    <w:rsid w:val="001F277F"/>
    <w:rsid w:val="001F7D34"/>
    <w:rsid w:val="001F7EAA"/>
    <w:rsid w:val="0020117F"/>
    <w:rsid w:val="0020119B"/>
    <w:rsid w:val="00201EE0"/>
    <w:rsid w:val="00206FC7"/>
    <w:rsid w:val="002165D1"/>
    <w:rsid w:val="002240E4"/>
    <w:rsid w:val="0022670F"/>
    <w:rsid w:val="002314E2"/>
    <w:rsid w:val="00231693"/>
    <w:rsid w:val="002404A2"/>
    <w:rsid w:val="00240F70"/>
    <w:rsid w:val="002561D3"/>
    <w:rsid w:val="002573AC"/>
    <w:rsid w:val="0026315F"/>
    <w:rsid w:val="00271ADE"/>
    <w:rsid w:val="00277895"/>
    <w:rsid w:val="0028162F"/>
    <w:rsid w:val="002841A5"/>
    <w:rsid w:val="002867AD"/>
    <w:rsid w:val="00291626"/>
    <w:rsid w:val="00292DC2"/>
    <w:rsid w:val="002A0A04"/>
    <w:rsid w:val="002A0B6E"/>
    <w:rsid w:val="002A0FE0"/>
    <w:rsid w:val="002A3388"/>
    <w:rsid w:val="002A4AB9"/>
    <w:rsid w:val="002B0B57"/>
    <w:rsid w:val="002B1CD1"/>
    <w:rsid w:val="002B6CB7"/>
    <w:rsid w:val="002C2B47"/>
    <w:rsid w:val="002C2BC2"/>
    <w:rsid w:val="002E1239"/>
    <w:rsid w:val="002E16C6"/>
    <w:rsid w:val="002E5624"/>
    <w:rsid w:val="002E79B7"/>
    <w:rsid w:val="002F41AF"/>
    <w:rsid w:val="002F5173"/>
    <w:rsid w:val="002F5F60"/>
    <w:rsid w:val="002F7E8B"/>
    <w:rsid w:val="00300945"/>
    <w:rsid w:val="00304734"/>
    <w:rsid w:val="00304F51"/>
    <w:rsid w:val="00311D13"/>
    <w:rsid w:val="003123C5"/>
    <w:rsid w:val="00316C53"/>
    <w:rsid w:val="00321F12"/>
    <w:rsid w:val="00324B05"/>
    <w:rsid w:val="00326812"/>
    <w:rsid w:val="0032771C"/>
    <w:rsid w:val="00336631"/>
    <w:rsid w:val="00342BEE"/>
    <w:rsid w:val="003448CF"/>
    <w:rsid w:val="00350CAD"/>
    <w:rsid w:val="003518A9"/>
    <w:rsid w:val="003623C8"/>
    <w:rsid w:val="00376A6F"/>
    <w:rsid w:val="003833B0"/>
    <w:rsid w:val="00385444"/>
    <w:rsid w:val="00385AE2"/>
    <w:rsid w:val="003968FC"/>
    <w:rsid w:val="003973F3"/>
    <w:rsid w:val="003A0A29"/>
    <w:rsid w:val="003A0CD9"/>
    <w:rsid w:val="003A2983"/>
    <w:rsid w:val="003A30F2"/>
    <w:rsid w:val="003A33E6"/>
    <w:rsid w:val="003A7C42"/>
    <w:rsid w:val="003B38CE"/>
    <w:rsid w:val="003B6002"/>
    <w:rsid w:val="003C0BF9"/>
    <w:rsid w:val="003C7B27"/>
    <w:rsid w:val="003D31FF"/>
    <w:rsid w:val="003D5823"/>
    <w:rsid w:val="003D58A8"/>
    <w:rsid w:val="003E0FA4"/>
    <w:rsid w:val="003E204E"/>
    <w:rsid w:val="003E3567"/>
    <w:rsid w:val="003F27B4"/>
    <w:rsid w:val="003F7502"/>
    <w:rsid w:val="00400F84"/>
    <w:rsid w:val="00401519"/>
    <w:rsid w:val="0040247F"/>
    <w:rsid w:val="00404ED9"/>
    <w:rsid w:val="00413CE6"/>
    <w:rsid w:val="004147DC"/>
    <w:rsid w:val="0041679A"/>
    <w:rsid w:val="004206D2"/>
    <w:rsid w:val="004267FD"/>
    <w:rsid w:val="004311B7"/>
    <w:rsid w:val="00434492"/>
    <w:rsid w:val="00435C96"/>
    <w:rsid w:val="004377D9"/>
    <w:rsid w:val="004410D9"/>
    <w:rsid w:val="00444AA6"/>
    <w:rsid w:val="00461760"/>
    <w:rsid w:val="00463E6F"/>
    <w:rsid w:val="004707C7"/>
    <w:rsid w:val="00471CFC"/>
    <w:rsid w:val="00472132"/>
    <w:rsid w:val="00472A2B"/>
    <w:rsid w:val="0048321E"/>
    <w:rsid w:val="00484376"/>
    <w:rsid w:val="00487488"/>
    <w:rsid w:val="00490D42"/>
    <w:rsid w:val="004939F1"/>
    <w:rsid w:val="004B5BE8"/>
    <w:rsid w:val="004B6228"/>
    <w:rsid w:val="004C0800"/>
    <w:rsid w:val="004C5C27"/>
    <w:rsid w:val="004C667A"/>
    <w:rsid w:val="004C668A"/>
    <w:rsid w:val="004C6B8B"/>
    <w:rsid w:val="004D0220"/>
    <w:rsid w:val="004D0CF5"/>
    <w:rsid w:val="004D661B"/>
    <w:rsid w:val="004E119A"/>
    <w:rsid w:val="004F3426"/>
    <w:rsid w:val="004F4F3B"/>
    <w:rsid w:val="00500E73"/>
    <w:rsid w:val="00504498"/>
    <w:rsid w:val="0050483F"/>
    <w:rsid w:val="005060A2"/>
    <w:rsid w:val="005060F6"/>
    <w:rsid w:val="00506547"/>
    <w:rsid w:val="00506974"/>
    <w:rsid w:val="00513B77"/>
    <w:rsid w:val="00517ECD"/>
    <w:rsid w:val="00524DBB"/>
    <w:rsid w:val="005279AC"/>
    <w:rsid w:val="00527A70"/>
    <w:rsid w:val="00527E91"/>
    <w:rsid w:val="00530A36"/>
    <w:rsid w:val="00531472"/>
    <w:rsid w:val="005325EA"/>
    <w:rsid w:val="0053634D"/>
    <w:rsid w:val="00536A6B"/>
    <w:rsid w:val="005375DA"/>
    <w:rsid w:val="00537B4B"/>
    <w:rsid w:val="0054179B"/>
    <w:rsid w:val="00545468"/>
    <w:rsid w:val="005501A6"/>
    <w:rsid w:val="005560F3"/>
    <w:rsid w:val="00557AE9"/>
    <w:rsid w:val="00557E7E"/>
    <w:rsid w:val="005631EE"/>
    <w:rsid w:val="00563FA2"/>
    <w:rsid w:val="005640DA"/>
    <w:rsid w:val="00567FA8"/>
    <w:rsid w:val="00572299"/>
    <w:rsid w:val="005741E4"/>
    <w:rsid w:val="00582A59"/>
    <w:rsid w:val="005849A5"/>
    <w:rsid w:val="005A02CE"/>
    <w:rsid w:val="005A08B8"/>
    <w:rsid w:val="005A13CB"/>
    <w:rsid w:val="005A377F"/>
    <w:rsid w:val="005B4D78"/>
    <w:rsid w:val="005B639D"/>
    <w:rsid w:val="005C0208"/>
    <w:rsid w:val="005C08BB"/>
    <w:rsid w:val="005C3390"/>
    <w:rsid w:val="005C7F69"/>
    <w:rsid w:val="005D1997"/>
    <w:rsid w:val="005D3E2E"/>
    <w:rsid w:val="005D53E9"/>
    <w:rsid w:val="005D7A10"/>
    <w:rsid w:val="005F1565"/>
    <w:rsid w:val="005F5EDA"/>
    <w:rsid w:val="00603B5D"/>
    <w:rsid w:val="00604BB4"/>
    <w:rsid w:val="00605837"/>
    <w:rsid w:val="00605DA3"/>
    <w:rsid w:val="0062367D"/>
    <w:rsid w:val="00625845"/>
    <w:rsid w:val="00630A55"/>
    <w:rsid w:val="00631FF3"/>
    <w:rsid w:val="00650DA1"/>
    <w:rsid w:val="006526E3"/>
    <w:rsid w:val="00654D0F"/>
    <w:rsid w:val="0065543C"/>
    <w:rsid w:val="00657EE3"/>
    <w:rsid w:val="006630BF"/>
    <w:rsid w:val="00665C4A"/>
    <w:rsid w:val="0066634B"/>
    <w:rsid w:val="00667242"/>
    <w:rsid w:val="00673B05"/>
    <w:rsid w:val="00675F9D"/>
    <w:rsid w:val="00676F43"/>
    <w:rsid w:val="006939AB"/>
    <w:rsid w:val="00697376"/>
    <w:rsid w:val="006A0F4D"/>
    <w:rsid w:val="006A0FD0"/>
    <w:rsid w:val="006A3346"/>
    <w:rsid w:val="006A3CC3"/>
    <w:rsid w:val="006A3E25"/>
    <w:rsid w:val="006B2D1B"/>
    <w:rsid w:val="006B4DBA"/>
    <w:rsid w:val="006C0999"/>
    <w:rsid w:val="006D0330"/>
    <w:rsid w:val="006D260B"/>
    <w:rsid w:val="006D2F71"/>
    <w:rsid w:val="006D5880"/>
    <w:rsid w:val="006D612D"/>
    <w:rsid w:val="006E1DA3"/>
    <w:rsid w:val="006E437B"/>
    <w:rsid w:val="006E46F7"/>
    <w:rsid w:val="006F105C"/>
    <w:rsid w:val="006F260F"/>
    <w:rsid w:val="0070188A"/>
    <w:rsid w:val="0070260C"/>
    <w:rsid w:val="0070764F"/>
    <w:rsid w:val="00707738"/>
    <w:rsid w:val="00707DB0"/>
    <w:rsid w:val="00711B51"/>
    <w:rsid w:val="00711F53"/>
    <w:rsid w:val="007131F0"/>
    <w:rsid w:val="00717561"/>
    <w:rsid w:val="007259B6"/>
    <w:rsid w:val="00727A1B"/>
    <w:rsid w:val="00741CE8"/>
    <w:rsid w:val="00742C50"/>
    <w:rsid w:val="007438B9"/>
    <w:rsid w:val="0074528A"/>
    <w:rsid w:val="0075234F"/>
    <w:rsid w:val="00752AEA"/>
    <w:rsid w:val="00754527"/>
    <w:rsid w:val="00762EAB"/>
    <w:rsid w:val="00763D57"/>
    <w:rsid w:val="00774446"/>
    <w:rsid w:val="00776632"/>
    <w:rsid w:val="00776A55"/>
    <w:rsid w:val="007772BA"/>
    <w:rsid w:val="0078186F"/>
    <w:rsid w:val="00782287"/>
    <w:rsid w:val="00783269"/>
    <w:rsid w:val="00785313"/>
    <w:rsid w:val="007870B3"/>
    <w:rsid w:val="007909CA"/>
    <w:rsid w:val="00793AE4"/>
    <w:rsid w:val="00793BCD"/>
    <w:rsid w:val="00797722"/>
    <w:rsid w:val="007B47B3"/>
    <w:rsid w:val="007B4B42"/>
    <w:rsid w:val="007B7ED9"/>
    <w:rsid w:val="007C0A62"/>
    <w:rsid w:val="007C1A2D"/>
    <w:rsid w:val="007C2D10"/>
    <w:rsid w:val="007C2EAD"/>
    <w:rsid w:val="007C61DE"/>
    <w:rsid w:val="007D2E36"/>
    <w:rsid w:val="007E07EE"/>
    <w:rsid w:val="007E40D2"/>
    <w:rsid w:val="007E715F"/>
    <w:rsid w:val="007F3027"/>
    <w:rsid w:val="007F777B"/>
    <w:rsid w:val="00803067"/>
    <w:rsid w:val="00805E1A"/>
    <w:rsid w:val="00815334"/>
    <w:rsid w:val="00815EB5"/>
    <w:rsid w:val="0081726D"/>
    <w:rsid w:val="008210CC"/>
    <w:rsid w:val="0082163D"/>
    <w:rsid w:val="00831BF5"/>
    <w:rsid w:val="00835BD4"/>
    <w:rsid w:val="008368AE"/>
    <w:rsid w:val="00840F2A"/>
    <w:rsid w:val="008500D5"/>
    <w:rsid w:val="0085174A"/>
    <w:rsid w:val="00852367"/>
    <w:rsid w:val="00852EBF"/>
    <w:rsid w:val="008547A5"/>
    <w:rsid w:val="00854814"/>
    <w:rsid w:val="00865D6C"/>
    <w:rsid w:val="00867E81"/>
    <w:rsid w:val="00871480"/>
    <w:rsid w:val="008769B6"/>
    <w:rsid w:val="00876E36"/>
    <w:rsid w:val="00880D69"/>
    <w:rsid w:val="00885E79"/>
    <w:rsid w:val="00890E03"/>
    <w:rsid w:val="008A0A6E"/>
    <w:rsid w:val="008A61D1"/>
    <w:rsid w:val="008B0B3E"/>
    <w:rsid w:val="008B2E7A"/>
    <w:rsid w:val="008C020D"/>
    <w:rsid w:val="008C1B26"/>
    <w:rsid w:val="008C32FE"/>
    <w:rsid w:val="008C3CFC"/>
    <w:rsid w:val="008D360C"/>
    <w:rsid w:val="008D3B61"/>
    <w:rsid w:val="008D41EE"/>
    <w:rsid w:val="008D4D65"/>
    <w:rsid w:val="008D718C"/>
    <w:rsid w:val="008D7741"/>
    <w:rsid w:val="008E1460"/>
    <w:rsid w:val="008E20B9"/>
    <w:rsid w:val="008E2A9E"/>
    <w:rsid w:val="008E5309"/>
    <w:rsid w:val="008E566D"/>
    <w:rsid w:val="008F3348"/>
    <w:rsid w:val="008F42D9"/>
    <w:rsid w:val="008F5521"/>
    <w:rsid w:val="008F5F17"/>
    <w:rsid w:val="008F6580"/>
    <w:rsid w:val="00902DD5"/>
    <w:rsid w:val="009038E4"/>
    <w:rsid w:val="00904A97"/>
    <w:rsid w:val="009054A2"/>
    <w:rsid w:val="00910529"/>
    <w:rsid w:val="00926B1C"/>
    <w:rsid w:val="00936051"/>
    <w:rsid w:val="00936B35"/>
    <w:rsid w:val="00951FE5"/>
    <w:rsid w:val="00956EA7"/>
    <w:rsid w:val="00963FBD"/>
    <w:rsid w:val="00971B14"/>
    <w:rsid w:val="009738DB"/>
    <w:rsid w:val="0097634E"/>
    <w:rsid w:val="00976F5A"/>
    <w:rsid w:val="00977C16"/>
    <w:rsid w:val="00981C20"/>
    <w:rsid w:val="0098446B"/>
    <w:rsid w:val="009849F1"/>
    <w:rsid w:val="009A2E62"/>
    <w:rsid w:val="009B1FC8"/>
    <w:rsid w:val="009C7B2E"/>
    <w:rsid w:val="009D0405"/>
    <w:rsid w:val="009D158C"/>
    <w:rsid w:val="009D6309"/>
    <w:rsid w:val="009E053C"/>
    <w:rsid w:val="009E0A87"/>
    <w:rsid w:val="009E0E7A"/>
    <w:rsid w:val="009E5FD5"/>
    <w:rsid w:val="009F03AC"/>
    <w:rsid w:val="009F1F7F"/>
    <w:rsid w:val="00A039AA"/>
    <w:rsid w:val="00A03D5B"/>
    <w:rsid w:val="00A06150"/>
    <w:rsid w:val="00A16E0F"/>
    <w:rsid w:val="00A17300"/>
    <w:rsid w:val="00A20863"/>
    <w:rsid w:val="00A22202"/>
    <w:rsid w:val="00A22E66"/>
    <w:rsid w:val="00A26322"/>
    <w:rsid w:val="00A34819"/>
    <w:rsid w:val="00A35112"/>
    <w:rsid w:val="00A4154C"/>
    <w:rsid w:val="00A41694"/>
    <w:rsid w:val="00A446F6"/>
    <w:rsid w:val="00A46634"/>
    <w:rsid w:val="00A46FFA"/>
    <w:rsid w:val="00A50763"/>
    <w:rsid w:val="00A57F6D"/>
    <w:rsid w:val="00A65A77"/>
    <w:rsid w:val="00A72562"/>
    <w:rsid w:val="00A802BB"/>
    <w:rsid w:val="00A8300F"/>
    <w:rsid w:val="00A8648F"/>
    <w:rsid w:val="00A93D52"/>
    <w:rsid w:val="00A950F9"/>
    <w:rsid w:val="00A96FF1"/>
    <w:rsid w:val="00A97627"/>
    <w:rsid w:val="00AA5B40"/>
    <w:rsid w:val="00AB2247"/>
    <w:rsid w:val="00AB5EC4"/>
    <w:rsid w:val="00AB740E"/>
    <w:rsid w:val="00AB7C16"/>
    <w:rsid w:val="00AC1B05"/>
    <w:rsid w:val="00AC2CC8"/>
    <w:rsid w:val="00AC2DF5"/>
    <w:rsid w:val="00AC313E"/>
    <w:rsid w:val="00AC5B4D"/>
    <w:rsid w:val="00AC6DF0"/>
    <w:rsid w:val="00AC7573"/>
    <w:rsid w:val="00AD0A50"/>
    <w:rsid w:val="00AD0A5B"/>
    <w:rsid w:val="00AD6421"/>
    <w:rsid w:val="00AD6CC8"/>
    <w:rsid w:val="00AD76A8"/>
    <w:rsid w:val="00AE04E6"/>
    <w:rsid w:val="00AE235D"/>
    <w:rsid w:val="00AE2E95"/>
    <w:rsid w:val="00AE3404"/>
    <w:rsid w:val="00AE48F6"/>
    <w:rsid w:val="00AE74F5"/>
    <w:rsid w:val="00AF178F"/>
    <w:rsid w:val="00AF1888"/>
    <w:rsid w:val="00AF22C2"/>
    <w:rsid w:val="00AF2829"/>
    <w:rsid w:val="00AF51CA"/>
    <w:rsid w:val="00B00537"/>
    <w:rsid w:val="00B03D4C"/>
    <w:rsid w:val="00B054B5"/>
    <w:rsid w:val="00B0634C"/>
    <w:rsid w:val="00B063A3"/>
    <w:rsid w:val="00B141EE"/>
    <w:rsid w:val="00B170B7"/>
    <w:rsid w:val="00B17475"/>
    <w:rsid w:val="00B204F7"/>
    <w:rsid w:val="00B23CD3"/>
    <w:rsid w:val="00B25E69"/>
    <w:rsid w:val="00B26D57"/>
    <w:rsid w:val="00B4088D"/>
    <w:rsid w:val="00B40E03"/>
    <w:rsid w:val="00B41FA4"/>
    <w:rsid w:val="00B5136B"/>
    <w:rsid w:val="00B548C0"/>
    <w:rsid w:val="00B571D0"/>
    <w:rsid w:val="00B578DA"/>
    <w:rsid w:val="00B65328"/>
    <w:rsid w:val="00B65B43"/>
    <w:rsid w:val="00B81143"/>
    <w:rsid w:val="00B8154B"/>
    <w:rsid w:val="00B824C8"/>
    <w:rsid w:val="00B849B5"/>
    <w:rsid w:val="00B87E71"/>
    <w:rsid w:val="00B96E37"/>
    <w:rsid w:val="00BA0400"/>
    <w:rsid w:val="00BA228F"/>
    <w:rsid w:val="00BA243B"/>
    <w:rsid w:val="00BA3708"/>
    <w:rsid w:val="00BA4055"/>
    <w:rsid w:val="00BA6FFB"/>
    <w:rsid w:val="00BB4865"/>
    <w:rsid w:val="00BC0205"/>
    <w:rsid w:val="00BC43E3"/>
    <w:rsid w:val="00BD55B1"/>
    <w:rsid w:val="00BE550F"/>
    <w:rsid w:val="00BE6151"/>
    <w:rsid w:val="00BE7549"/>
    <w:rsid w:val="00BF045A"/>
    <w:rsid w:val="00BF0C29"/>
    <w:rsid w:val="00BF6213"/>
    <w:rsid w:val="00BF6542"/>
    <w:rsid w:val="00BF76E2"/>
    <w:rsid w:val="00C01B87"/>
    <w:rsid w:val="00C0208E"/>
    <w:rsid w:val="00C1137E"/>
    <w:rsid w:val="00C11CBC"/>
    <w:rsid w:val="00C12D8C"/>
    <w:rsid w:val="00C147C4"/>
    <w:rsid w:val="00C248BB"/>
    <w:rsid w:val="00C248E3"/>
    <w:rsid w:val="00C2634E"/>
    <w:rsid w:val="00C2770B"/>
    <w:rsid w:val="00C31351"/>
    <w:rsid w:val="00C31FF8"/>
    <w:rsid w:val="00C35544"/>
    <w:rsid w:val="00C36F1B"/>
    <w:rsid w:val="00C4202A"/>
    <w:rsid w:val="00C438CD"/>
    <w:rsid w:val="00C46096"/>
    <w:rsid w:val="00C50050"/>
    <w:rsid w:val="00C50C3F"/>
    <w:rsid w:val="00C52F79"/>
    <w:rsid w:val="00C5409B"/>
    <w:rsid w:val="00C5571F"/>
    <w:rsid w:val="00C629FB"/>
    <w:rsid w:val="00C6555D"/>
    <w:rsid w:val="00C65B38"/>
    <w:rsid w:val="00C6689A"/>
    <w:rsid w:val="00C674C0"/>
    <w:rsid w:val="00C722F0"/>
    <w:rsid w:val="00C759B7"/>
    <w:rsid w:val="00C75A0E"/>
    <w:rsid w:val="00C82B2D"/>
    <w:rsid w:val="00C842C8"/>
    <w:rsid w:val="00C87568"/>
    <w:rsid w:val="00C92A12"/>
    <w:rsid w:val="00C92FB1"/>
    <w:rsid w:val="00C931C8"/>
    <w:rsid w:val="00C94165"/>
    <w:rsid w:val="00CA687A"/>
    <w:rsid w:val="00CB432F"/>
    <w:rsid w:val="00CD5756"/>
    <w:rsid w:val="00CD5EE4"/>
    <w:rsid w:val="00CD7FE9"/>
    <w:rsid w:val="00CE0D9A"/>
    <w:rsid w:val="00CE1276"/>
    <w:rsid w:val="00CE3CD3"/>
    <w:rsid w:val="00CF320C"/>
    <w:rsid w:val="00CF3E9D"/>
    <w:rsid w:val="00CF5241"/>
    <w:rsid w:val="00CF5C7C"/>
    <w:rsid w:val="00D00798"/>
    <w:rsid w:val="00D07FE4"/>
    <w:rsid w:val="00D12C85"/>
    <w:rsid w:val="00D15B90"/>
    <w:rsid w:val="00D16BA0"/>
    <w:rsid w:val="00D20146"/>
    <w:rsid w:val="00D235E1"/>
    <w:rsid w:val="00D23EAE"/>
    <w:rsid w:val="00D24542"/>
    <w:rsid w:val="00D24EED"/>
    <w:rsid w:val="00D25DB3"/>
    <w:rsid w:val="00D26417"/>
    <w:rsid w:val="00D33A64"/>
    <w:rsid w:val="00D40938"/>
    <w:rsid w:val="00D41963"/>
    <w:rsid w:val="00D45071"/>
    <w:rsid w:val="00D465ED"/>
    <w:rsid w:val="00D4721A"/>
    <w:rsid w:val="00D5283E"/>
    <w:rsid w:val="00D536FD"/>
    <w:rsid w:val="00D56AB7"/>
    <w:rsid w:val="00D57B5F"/>
    <w:rsid w:val="00D62CDF"/>
    <w:rsid w:val="00D62F55"/>
    <w:rsid w:val="00D64A46"/>
    <w:rsid w:val="00D64CFE"/>
    <w:rsid w:val="00D65A5E"/>
    <w:rsid w:val="00D668F5"/>
    <w:rsid w:val="00D71E2E"/>
    <w:rsid w:val="00D720F3"/>
    <w:rsid w:val="00D72EF1"/>
    <w:rsid w:val="00D75113"/>
    <w:rsid w:val="00D76C6D"/>
    <w:rsid w:val="00D83A8A"/>
    <w:rsid w:val="00D8595D"/>
    <w:rsid w:val="00D87E6E"/>
    <w:rsid w:val="00D90A5F"/>
    <w:rsid w:val="00D96B88"/>
    <w:rsid w:val="00DA15A8"/>
    <w:rsid w:val="00DA3C3B"/>
    <w:rsid w:val="00DB025E"/>
    <w:rsid w:val="00DB2C6B"/>
    <w:rsid w:val="00DB2D09"/>
    <w:rsid w:val="00DB6A79"/>
    <w:rsid w:val="00DC0A34"/>
    <w:rsid w:val="00DC6424"/>
    <w:rsid w:val="00DD1905"/>
    <w:rsid w:val="00DD2FD5"/>
    <w:rsid w:val="00DD2FDC"/>
    <w:rsid w:val="00DD47E3"/>
    <w:rsid w:val="00DD4F6D"/>
    <w:rsid w:val="00DE00F1"/>
    <w:rsid w:val="00DF5E80"/>
    <w:rsid w:val="00DF64AF"/>
    <w:rsid w:val="00DF7D2F"/>
    <w:rsid w:val="00E025C2"/>
    <w:rsid w:val="00E0463C"/>
    <w:rsid w:val="00E15F1F"/>
    <w:rsid w:val="00E16075"/>
    <w:rsid w:val="00E270DC"/>
    <w:rsid w:val="00E30F4E"/>
    <w:rsid w:val="00E32CA9"/>
    <w:rsid w:val="00E40974"/>
    <w:rsid w:val="00E463EC"/>
    <w:rsid w:val="00E540B0"/>
    <w:rsid w:val="00E55865"/>
    <w:rsid w:val="00E57F78"/>
    <w:rsid w:val="00E64BF5"/>
    <w:rsid w:val="00E668F8"/>
    <w:rsid w:val="00E67183"/>
    <w:rsid w:val="00E71ED9"/>
    <w:rsid w:val="00E72C38"/>
    <w:rsid w:val="00E73657"/>
    <w:rsid w:val="00E74E4B"/>
    <w:rsid w:val="00E75B70"/>
    <w:rsid w:val="00E8070B"/>
    <w:rsid w:val="00E818D9"/>
    <w:rsid w:val="00E93847"/>
    <w:rsid w:val="00E943A9"/>
    <w:rsid w:val="00EA1C5C"/>
    <w:rsid w:val="00EA3E55"/>
    <w:rsid w:val="00EA5483"/>
    <w:rsid w:val="00EA7B9D"/>
    <w:rsid w:val="00EB47A1"/>
    <w:rsid w:val="00EB647A"/>
    <w:rsid w:val="00EB6D7F"/>
    <w:rsid w:val="00EC4206"/>
    <w:rsid w:val="00EC42C4"/>
    <w:rsid w:val="00EC7203"/>
    <w:rsid w:val="00ED0506"/>
    <w:rsid w:val="00ED6B83"/>
    <w:rsid w:val="00EE4263"/>
    <w:rsid w:val="00EE65B2"/>
    <w:rsid w:val="00EF5984"/>
    <w:rsid w:val="00EF727E"/>
    <w:rsid w:val="00F01072"/>
    <w:rsid w:val="00F03DFD"/>
    <w:rsid w:val="00F104E7"/>
    <w:rsid w:val="00F13F37"/>
    <w:rsid w:val="00F17A6E"/>
    <w:rsid w:val="00F2063C"/>
    <w:rsid w:val="00F21C09"/>
    <w:rsid w:val="00F2327C"/>
    <w:rsid w:val="00F24EA2"/>
    <w:rsid w:val="00F26F25"/>
    <w:rsid w:val="00F31452"/>
    <w:rsid w:val="00F35D99"/>
    <w:rsid w:val="00F36F07"/>
    <w:rsid w:val="00F42931"/>
    <w:rsid w:val="00F47515"/>
    <w:rsid w:val="00F50B57"/>
    <w:rsid w:val="00F55102"/>
    <w:rsid w:val="00F563A0"/>
    <w:rsid w:val="00F6140F"/>
    <w:rsid w:val="00F62222"/>
    <w:rsid w:val="00F64C0A"/>
    <w:rsid w:val="00F6585D"/>
    <w:rsid w:val="00F66C29"/>
    <w:rsid w:val="00F76DA4"/>
    <w:rsid w:val="00F826FD"/>
    <w:rsid w:val="00F828C5"/>
    <w:rsid w:val="00F82FDB"/>
    <w:rsid w:val="00F831C8"/>
    <w:rsid w:val="00F84B07"/>
    <w:rsid w:val="00F93F9E"/>
    <w:rsid w:val="00F94AFC"/>
    <w:rsid w:val="00FA1BA9"/>
    <w:rsid w:val="00FA1DDF"/>
    <w:rsid w:val="00FA306A"/>
    <w:rsid w:val="00FA3DDF"/>
    <w:rsid w:val="00FC1039"/>
    <w:rsid w:val="00FC1BF8"/>
    <w:rsid w:val="00FC6FAA"/>
    <w:rsid w:val="00FD3310"/>
    <w:rsid w:val="00FD4529"/>
    <w:rsid w:val="00FD705D"/>
    <w:rsid w:val="00FE09F5"/>
    <w:rsid w:val="00FE171A"/>
    <w:rsid w:val="00FE1999"/>
    <w:rsid w:val="00FE6AF5"/>
    <w:rsid w:val="00FF265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-vrn@investocenk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77F17-379D-45C9-B601-F911EC2C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ИнвестОценка-ПК</dc:creator>
  <cp:lastModifiedBy>Алексей</cp:lastModifiedBy>
  <cp:revision>7</cp:revision>
  <cp:lastPrinted>2012-06-05T15:46:00Z</cp:lastPrinted>
  <dcterms:created xsi:type="dcterms:W3CDTF">2014-09-14T08:36:00Z</dcterms:created>
  <dcterms:modified xsi:type="dcterms:W3CDTF">2014-09-14T08:38:00Z</dcterms:modified>
</cp:coreProperties>
</file>