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A" w:rsidRPr="006118C7" w:rsidRDefault="0085174A" w:rsidP="00563FA2">
      <w:pPr>
        <w:pStyle w:val="2"/>
        <w:spacing w:before="120" w:after="60"/>
        <w:ind w:left="-142" w:right="-143"/>
        <w:rPr>
          <w:rFonts w:ascii="Verdana" w:hAnsi="Verdana"/>
          <w:i/>
          <w:color w:val="E36C0A"/>
          <w:sz w:val="24"/>
          <w:szCs w:val="24"/>
          <w:lang w:eastAsia="ru-RU"/>
        </w:rPr>
      </w:pP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Воронеж. Обзор рынка жилой недвижимости за </w:t>
      </w:r>
      <w:r w:rsidR="005A08B8">
        <w:rPr>
          <w:rFonts w:ascii="Verdana" w:hAnsi="Verdana"/>
          <w:i/>
          <w:color w:val="E36C0A"/>
          <w:sz w:val="24"/>
          <w:szCs w:val="24"/>
          <w:lang w:eastAsia="ru-RU"/>
        </w:rPr>
        <w:t>март</w:t>
      </w:r>
      <w:r w:rsidR="00563FA2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201</w:t>
      </w:r>
      <w:r w:rsidR="00E818D9">
        <w:rPr>
          <w:rFonts w:ascii="Verdana" w:hAnsi="Verdana"/>
          <w:i/>
          <w:color w:val="E36C0A"/>
          <w:sz w:val="24"/>
          <w:szCs w:val="24"/>
          <w:lang w:eastAsia="ru-RU"/>
        </w:rPr>
        <w:t>4</w:t>
      </w:r>
      <w:r w:rsidRPr="006118C7">
        <w:rPr>
          <w:rFonts w:ascii="Verdana" w:hAnsi="Verdana"/>
          <w:i/>
          <w:color w:val="E36C0A"/>
          <w:sz w:val="24"/>
          <w:szCs w:val="24"/>
          <w:lang w:eastAsia="ru-RU"/>
        </w:rPr>
        <w:t xml:space="preserve"> года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8244CF">
        <w:rPr>
          <w:rFonts w:ascii="Verdana" w:hAnsi="Verdana"/>
          <w:color w:val="595959"/>
          <w:sz w:val="16"/>
          <w:szCs w:val="16"/>
        </w:rPr>
        <w:t>Для целей информационного обеспечения процедур</w:t>
      </w:r>
      <w:r>
        <w:rPr>
          <w:rFonts w:ascii="Verdana" w:hAnsi="Verdana"/>
          <w:color w:val="595959"/>
          <w:sz w:val="16"/>
          <w:szCs w:val="16"/>
        </w:rPr>
        <w:t>ы</w:t>
      </w:r>
      <w:r w:rsidRPr="008244CF">
        <w:rPr>
          <w:rFonts w:ascii="Verdana" w:hAnsi="Verdana"/>
          <w:color w:val="595959"/>
          <w:sz w:val="16"/>
          <w:szCs w:val="16"/>
        </w:rPr>
        <w:t xml:space="preserve"> оценки квартир в городе Воронеже специалисты компании «ИнвестОценка» подготовили обзор рынка жилой недвижимости 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за </w:t>
      </w:r>
      <w:r w:rsidR="005A08B8">
        <w:rPr>
          <w:rFonts w:ascii="Verdana" w:hAnsi="Verdana"/>
          <w:b/>
          <w:color w:val="595959"/>
          <w:sz w:val="16"/>
          <w:szCs w:val="16"/>
        </w:rPr>
        <w:t>март</w:t>
      </w:r>
      <w:r w:rsidR="00563FA2">
        <w:rPr>
          <w:rFonts w:ascii="Verdana" w:hAnsi="Verdana"/>
          <w:b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b/>
          <w:color w:val="595959"/>
          <w:sz w:val="16"/>
          <w:szCs w:val="16"/>
        </w:rPr>
        <w:t>4</w:t>
      </w:r>
      <w:r w:rsidRPr="008244CF">
        <w:rPr>
          <w:rFonts w:ascii="Verdana" w:hAnsi="Verdana"/>
          <w:b/>
          <w:color w:val="595959"/>
          <w:sz w:val="16"/>
          <w:szCs w:val="16"/>
        </w:rPr>
        <w:t xml:space="preserve"> года</w:t>
      </w:r>
      <w:r w:rsidRPr="008244CF">
        <w:rPr>
          <w:rFonts w:ascii="Verdana" w:hAnsi="Verdana"/>
          <w:color w:val="595959"/>
          <w:sz w:val="16"/>
          <w:szCs w:val="16"/>
        </w:rPr>
        <w:t>.</w:t>
      </w:r>
    </w:p>
    <w:p w:rsidR="0085174A" w:rsidRPr="008244CF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 w:cs="Calibri"/>
          <w:color w:val="595959"/>
          <w:sz w:val="16"/>
          <w:szCs w:val="16"/>
        </w:rPr>
      </w:pPr>
      <w:r w:rsidRPr="008244CF">
        <w:rPr>
          <w:rFonts w:ascii="Verdana" w:hAnsi="Verdana" w:cs="Calibri"/>
          <w:color w:val="595959"/>
          <w:sz w:val="16"/>
          <w:szCs w:val="16"/>
        </w:rPr>
        <w:t xml:space="preserve">Информация для </w:t>
      </w:r>
      <w:r>
        <w:rPr>
          <w:rFonts w:ascii="Verdana" w:hAnsi="Verdana" w:cs="Calibri"/>
          <w:color w:val="595959"/>
          <w:sz w:val="16"/>
          <w:szCs w:val="16"/>
        </w:rPr>
        <w:t xml:space="preserve">написания </w:t>
      </w:r>
      <w:r w:rsidRPr="008244CF">
        <w:rPr>
          <w:rFonts w:ascii="Verdana" w:hAnsi="Verdana" w:cs="Calibri"/>
          <w:color w:val="595959"/>
          <w:sz w:val="16"/>
          <w:szCs w:val="16"/>
        </w:rPr>
        <w:t xml:space="preserve">настоящего обзора получена на основании мониторинга специализированных источников, посвященных рынку недвижимости города Воронежа, в том числе: электронные базы недвижимости, печатные и электронные СМИ, базы данных риэлтерских агентств Воронежа, собственная статистика компании «ИнвестОценка». </w:t>
      </w:r>
    </w:p>
    <w:p w:rsidR="0085174A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eastAsia="Times New Roman" w:hAnsi="Verdana"/>
          <w:color w:val="595959"/>
          <w:sz w:val="16"/>
          <w:szCs w:val="16"/>
        </w:rPr>
      </w:pPr>
      <w:r w:rsidRPr="008244CF">
        <w:rPr>
          <w:rFonts w:ascii="Verdana" w:eastAsia="Times New Roman" w:hAnsi="Verdana"/>
          <w:color w:val="595959"/>
          <w:sz w:val="16"/>
          <w:szCs w:val="16"/>
        </w:rPr>
        <w:t xml:space="preserve">В качестве объектов для исследования были отобраны </w:t>
      </w:r>
      <w:r w:rsidRPr="008244CF">
        <w:rPr>
          <w:rFonts w:ascii="Verdana" w:hAnsi="Verdana"/>
          <w:color w:val="595959"/>
          <w:sz w:val="16"/>
          <w:szCs w:val="16"/>
        </w:rPr>
        <w:t>только объекты</w:t>
      </w:r>
      <w:r>
        <w:rPr>
          <w:rFonts w:ascii="Verdana" w:hAnsi="Verdana"/>
          <w:color w:val="595959"/>
          <w:sz w:val="16"/>
          <w:szCs w:val="16"/>
        </w:rPr>
        <w:t xml:space="preserve"> – </w:t>
      </w:r>
      <w:r w:rsidRPr="008244CF">
        <w:rPr>
          <w:rFonts w:ascii="Verdana" w:hAnsi="Verdana"/>
          <w:color w:val="595959"/>
          <w:sz w:val="16"/>
          <w:szCs w:val="16"/>
        </w:rPr>
        <w:t xml:space="preserve">квартиры (одно-, двух- и трех-, 4-х и более </w:t>
      </w:r>
      <w:r w:rsidRPr="002266EC">
        <w:rPr>
          <w:rFonts w:ascii="Verdana" w:hAnsi="Verdana"/>
          <w:color w:val="595959"/>
          <w:sz w:val="16"/>
          <w:szCs w:val="16"/>
        </w:rPr>
        <w:t xml:space="preserve">комнатные) и не рассматриваются </w:t>
      </w:r>
      <w:r w:rsidRPr="007A6D86">
        <w:rPr>
          <w:rFonts w:ascii="Verdana" w:hAnsi="Verdana"/>
          <w:color w:val="595959"/>
          <w:sz w:val="16"/>
          <w:szCs w:val="16"/>
        </w:rPr>
        <w:t>комнаты и доли</w:t>
      </w:r>
      <w:r w:rsidRPr="007A6D86">
        <w:rPr>
          <w:rFonts w:ascii="Verdana" w:eastAsia="Times New Roman" w:hAnsi="Verdana"/>
          <w:color w:val="595959"/>
          <w:sz w:val="16"/>
          <w:szCs w:val="16"/>
        </w:rPr>
        <w:t xml:space="preserve">. </w:t>
      </w:r>
      <w:r w:rsidRPr="007A6D86">
        <w:rPr>
          <w:rFonts w:ascii="Verdana" w:hAnsi="Verdana"/>
          <w:color w:val="595959"/>
          <w:sz w:val="16"/>
          <w:szCs w:val="16"/>
        </w:rPr>
        <w:t xml:space="preserve">В </w:t>
      </w:r>
      <w:r>
        <w:rPr>
          <w:rFonts w:ascii="Verdana" w:hAnsi="Verdana"/>
          <w:color w:val="595959"/>
          <w:sz w:val="16"/>
          <w:szCs w:val="16"/>
        </w:rPr>
        <w:t>выборке</w:t>
      </w:r>
      <w:r w:rsidRPr="007A6D86">
        <w:rPr>
          <w:rFonts w:ascii="Verdana" w:hAnsi="Verdana"/>
          <w:color w:val="595959"/>
          <w:sz w:val="16"/>
          <w:szCs w:val="16"/>
        </w:rPr>
        <w:t xml:space="preserve"> 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 xml:space="preserve">участвуют только 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«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уникальные</w:t>
      </w:r>
      <w:r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» (не повторяющиеся) предложения</w:t>
      </w:r>
      <w:r w:rsidRPr="007A6D86">
        <w:rPr>
          <w:rStyle w:val="aa"/>
          <w:rFonts w:ascii="Verdana" w:hAnsi="Verdana" w:cs="Calibri"/>
          <w:b w:val="0"/>
          <w:bCs w:val="0"/>
          <w:color w:val="595959"/>
          <w:sz w:val="16"/>
          <w:szCs w:val="16"/>
        </w:rPr>
        <w:t>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color w:val="595959"/>
          <w:sz w:val="16"/>
          <w:szCs w:val="16"/>
        </w:rPr>
      </w:pPr>
      <w:r w:rsidRPr="002266EC">
        <w:rPr>
          <w:rFonts w:ascii="Verdana" w:hAnsi="Verdana"/>
          <w:color w:val="595959"/>
          <w:sz w:val="16"/>
          <w:szCs w:val="16"/>
        </w:rPr>
        <w:t xml:space="preserve">В целях анализа </w:t>
      </w:r>
      <w:r w:rsidRPr="00E00485">
        <w:rPr>
          <w:rFonts w:ascii="Verdana" w:hAnsi="Verdana"/>
          <w:color w:val="595959"/>
          <w:sz w:val="16"/>
          <w:szCs w:val="16"/>
        </w:rPr>
        <w:t xml:space="preserve">ценовой динамики используется средневзвешенная цена предложения. Расчет средних цен за </w:t>
      </w:r>
      <w:r w:rsidR="00490D42">
        <w:rPr>
          <w:rFonts w:ascii="Verdana" w:hAnsi="Verdana"/>
          <w:color w:val="595959"/>
          <w:sz w:val="16"/>
          <w:szCs w:val="16"/>
        </w:rPr>
        <w:t xml:space="preserve">             </w:t>
      </w:r>
      <w:r w:rsidRPr="00E00485">
        <w:rPr>
          <w:rFonts w:ascii="Verdana" w:hAnsi="Verdana"/>
          <w:color w:val="595959"/>
          <w:sz w:val="16"/>
          <w:szCs w:val="16"/>
        </w:rPr>
        <w:t>1 кв. м общей площади ведется без учета элитных объектов.</w:t>
      </w:r>
    </w:p>
    <w:p w:rsidR="0085174A" w:rsidRPr="00E00485" w:rsidRDefault="0085174A" w:rsidP="0085174A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Verdana" w:hAnsi="Verdana"/>
          <w:iCs/>
          <w:color w:val="595959"/>
          <w:sz w:val="16"/>
          <w:szCs w:val="16"/>
        </w:rPr>
      </w:pPr>
      <w:r w:rsidRPr="00E00485">
        <w:rPr>
          <w:rFonts w:ascii="Verdana" w:hAnsi="Verdana" w:cs="Calibri"/>
          <w:color w:val="595959"/>
          <w:sz w:val="16"/>
          <w:szCs w:val="16"/>
        </w:rPr>
        <w:t xml:space="preserve">Все расчеты выполнены в соответствии </w:t>
      </w:r>
      <w:r w:rsidRPr="00E00485">
        <w:rPr>
          <w:rFonts w:ascii="Verdana" w:hAnsi="Verdana"/>
          <w:iCs/>
          <w:color w:val="595959"/>
          <w:sz w:val="16"/>
          <w:szCs w:val="16"/>
        </w:rPr>
        <w:t>с методологией Главного аналитика Российской Гильдии Риэлторов Стерника Г. М.</w:t>
      </w:r>
    </w:p>
    <w:p w:rsidR="0085174A" w:rsidRPr="0099098B" w:rsidRDefault="0085174A" w:rsidP="0085174A">
      <w:pPr>
        <w:pStyle w:val="ab"/>
        <w:spacing w:before="120" w:after="60" w:line="276" w:lineRule="auto"/>
        <w:ind w:left="-142"/>
        <w:rPr>
          <w:rFonts w:ascii="Verdana" w:hAnsi="Verdana" w:cs="Arial"/>
          <w:color w:val="595959"/>
          <w:sz w:val="16"/>
          <w:szCs w:val="16"/>
        </w:rPr>
      </w:pPr>
      <w:r w:rsidRPr="00E00485">
        <w:rPr>
          <w:rFonts w:ascii="Verdana" w:hAnsi="Verdana"/>
          <w:color w:val="E36C0A"/>
          <w:sz w:val="16"/>
          <w:szCs w:val="16"/>
        </w:rPr>
        <w:t xml:space="preserve">Таблица </w:t>
      </w:r>
      <w:r w:rsidR="002314E2" w:rsidRPr="00E00485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E00485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2314E2" w:rsidRPr="00E00485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>
        <w:rPr>
          <w:rFonts w:ascii="Verdana" w:hAnsi="Verdana"/>
          <w:noProof/>
          <w:color w:val="E36C0A"/>
          <w:sz w:val="16"/>
          <w:szCs w:val="16"/>
        </w:rPr>
        <w:t>1</w:t>
      </w:r>
      <w:r w:rsidR="002314E2" w:rsidRPr="00E00485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E00485">
        <w:rPr>
          <w:rFonts w:ascii="Verdana" w:hAnsi="Verdana"/>
          <w:color w:val="E36C0A"/>
          <w:sz w:val="16"/>
          <w:szCs w:val="16"/>
        </w:rPr>
        <w:t>.</w:t>
      </w:r>
      <w:r w:rsidRPr="00E00485">
        <w:rPr>
          <w:rFonts w:ascii="Verdana" w:hAnsi="Verdana"/>
          <w:sz w:val="16"/>
          <w:szCs w:val="16"/>
        </w:rPr>
        <w:t xml:space="preserve"> </w:t>
      </w:r>
      <w:r w:rsidRPr="00E00485">
        <w:rPr>
          <w:rFonts w:ascii="Verdana" w:hAnsi="Verdana"/>
          <w:color w:val="595959"/>
          <w:sz w:val="16"/>
          <w:szCs w:val="16"/>
        </w:rPr>
        <w:t xml:space="preserve">Основные показатели рынка предложения жилой недвижимости (квартир) Воронежа на конец </w:t>
      </w:r>
      <w:r w:rsidR="005A08B8">
        <w:rPr>
          <w:rFonts w:ascii="Verdana" w:hAnsi="Verdana"/>
          <w:color w:val="595959"/>
          <w:sz w:val="16"/>
          <w:szCs w:val="16"/>
        </w:rPr>
        <w:t>марта</w:t>
      </w:r>
      <w:r w:rsidR="00E463EC">
        <w:rPr>
          <w:rFonts w:ascii="Verdana" w:hAnsi="Verdana"/>
          <w:color w:val="595959"/>
          <w:sz w:val="16"/>
          <w:szCs w:val="16"/>
        </w:rPr>
        <w:t xml:space="preserve"> 201</w:t>
      </w:r>
      <w:r w:rsidR="00E818D9">
        <w:rPr>
          <w:rFonts w:ascii="Verdana" w:hAnsi="Verdana"/>
          <w:color w:val="595959"/>
          <w:sz w:val="16"/>
          <w:szCs w:val="16"/>
        </w:rPr>
        <w:t>4</w:t>
      </w:r>
      <w:r w:rsidRPr="00E00485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9640" w:type="dxa"/>
        <w:tblInd w:w="-3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6379"/>
        <w:gridCol w:w="922"/>
        <w:gridCol w:w="1170"/>
        <w:gridCol w:w="1169"/>
      </w:tblGrid>
      <w:tr w:rsidR="00D57B5F" w:rsidRPr="00923972" w:rsidTr="00D57B5F">
        <w:tc>
          <w:tcPr>
            <w:tcW w:w="637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108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 xml:space="preserve">Основные показатели </w:t>
            </w:r>
          </w:p>
        </w:tc>
        <w:tc>
          <w:tcPr>
            <w:tcW w:w="922" w:type="dxa"/>
            <w:shd w:val="clear" w:color="auto" w:fill="E36C0A"/>
            <w:vAlign w:val="center"/>
          </w:tcPr>
          <w:p w:rsidR="00D57B5F" w:rsidRPr="00B02743" w:rsidRDefault="00971E0B" w:rsidP="0048321E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val="en-US" w:eastAsia="ru-RU"/>
              </w:rPr>
            </w:pPr>
            <w:r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М</w:t>
            </w:r>
            <w:r w:rsidR="005A08B8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арт</w:t>
            </w:r>
          </w:p>
          <w:p w:rsidR="00D57B5F" w:rsidRPr="00B02743" w:rsidRDefault="00D57B5F" w:rsidP="00E818D9">
            <w:pPr>
              <w:spacing w:before="20" w:after="20" w:line="240" w:lineRule="auto"/>
              <w:ind w:left="-142" w:right="-143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201</w:t>
            </w:r>
            <w:r w:rsidR="00E818D9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left="-4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руб./кв. м</w:t>
            </w:r>
          </w:p>
        </w:tc>
        <w:tc>
          <w:tcPr>
            <w:tcW w:w="1169" w:type="dxa"/>
            <w:shd w:val="clear" w:color="auto" w:fill="E36C0A"/>
            <w:vAlign w:val="center"/>
          </w:tcPr>
          <w:p w:rsidR="00D57B5F" w:rsidRPr="00B02743" w:rsidRDefault="00D57B5F" w:rsidP="0048321E">
            <w:pPr>
              <w:spacing w:before="20" w:after="20" w:line="240" w:lineRule="auto"/>
              <w:ind w:right="-5"/>
              <w:jc w:val="center"/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</w:pPr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Приро</w:t>
            </w:r>
            <w:proofErr w:type="gramStart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ст к пр</w:t>
            </w:r>
            <w:proofErr w:type="gramEnd"/>
            <w:r w:rsidRPr="00B02743">
              <w:rPr>
                <w:rFonts w:ascii="Verdana" w:eastAsia="Times New Roman" w:hAnsi="Verdana" w:cs="Helvetica"/>
                <w:b/>
                <w:color w:val="FFFFFF"/>
                <w:sz w:val="14"/>
                <w:szCs w:val="14"/>
                <w:lang w:eastAsia="ru-RU"/>
              </w:rPr>
              <w:t>ошлому месяцу, 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07436A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жилья в среднем по городу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A5A5A"/>
                <w:sz w:val="14"/>
                <w:szCs w:val="14"/>
              </w:rPr>
              <w:t>48 505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+694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595959"/>
                <w:sz w:val="14"/>
                <w:szCs w:val="14"/>
              </w:rPr>
              <w:t>+1,45%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Общее количество экспонируемых объектов, шт.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4 106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+61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+1,49%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новизне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17BCE" w:rsidRPr="00923972" w:rsidTr="00ED0506">
        <w:trPr>
          <w:trHeight w:val="261"/>
        </w:trPr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Вторичка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49 872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+2 113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3A6573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+4,</w:t>
            </w:r>
            <w:r w:rsidR="003A6573">
              <w:rPr>
                <w:rFonts w:ascii="Verdana" w:hAnsi="Verdana" w:cs="Calibri"/>
                <w:color w:val="595959"/>
                <w:sz w:val="14"/>
                <w:szCs w:val="14"/>
              </w:rPr>
              <w:t>42</w:t>
            </w:r>
            <w:r>
              <w:rPr>
                <w:rFonts w:ascii="Verdana" w:hAnsi="Verdana" w:cs="Calibri"/>
                <w:color w:val="595959"/>
                <w:sz w:val="14"/>
                <w:szCs w:val="14"/>
              </w:rPr>
              <w:t>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Новостройки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46 374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-1 491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-3,2</w:t>
            </w:r>
            <w:bookmarkStart w:id="0" w:name="_GoBack"/>
            <w:bookmarkEnd w:id="0"/>
            <w:r>
              <w:rPr>
                <w:rFonts w:ascii="Verdana" w:hAnsi="Verdana" w:cs="Calibri"/>
                <w:color w:val="595959"/>
                <w:sz w:val="14"/>
                <w:szCs w:val="14"/>
              </w:rPr>
              <w:t>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количеству комнат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Однокомнатные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50 843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+935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+1,84%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Двухкомнатные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47 824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+967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+2,02%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Трехкомнатные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46 315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+746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+1,61%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4-х и более комнатные квартиры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44 306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-181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-0,41%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районам города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Центральный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54 851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+3 367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+6,14%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Коминтерновский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47 163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+97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+0,21%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Ленинский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54 855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+3 557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+6,48%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Советский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47 459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-392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-0,83%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Железнодорожный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45 756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-37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-0,08%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Левобережный район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46 746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-455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-0,97%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типажу здания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Сталинка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49 622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+1 299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+2,62%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Хрущевка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47 014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+295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+0,63%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Брежневка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47 740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+827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+1,73%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Чешка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48 189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+210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+0,44%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Современная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48 837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+935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+1,92%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>Средняя удельная цена предложения</w:t>
            </w:r>
            <w:r w:rsidRPr="0007436A">
              <w:rPr>
                <w:rFonts w:ascii="Verdana" w:eastAsia="Times New Roman" w:hAnsi="Verdana" w:cs="Helvetica"/>
                <w:b/>
                <w:color w:val="595959"/>
                <w:sz w:val="14"/>
                <w:szCs w:val="14"/>
                <w:lang w:eastAsia="ru-RU"/>
              </w:rPr>
              <w:t xml:space="preserve"> </w:t>
            </w:r>
            <w:r w:rsidRPr="00923972">
              <w:rPr>
                <w:rFonts w:ascii="Verdana" w:eastAsia="Times New Roman" w:hAnsi="Verdana" w:cs="Helvetica"/>
                <w:b/>
                <w:color w:val="595959" w:themeColor="text1" w:themeTint="A6"/>
                <w:sz w:val="14"/>
                <w:szCs w:val="14"/>
                <w:lang w:eastAsia="ru-RU"/>
              </w:rPr>
              <w:t>жилья по материалу стен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 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49 921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+1 257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+2,52%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Монолитный и монолитно-кирпичный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47 222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+292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+0,62%</w:t>
            </w:r>
          </w:p>
        </w:tc>
      </w:tr>
      <w:tr w:rsidR="00417BCE" w:rsidRPr="00923972" w:rsidTr="00ED0506">
        <w:tc>
          <w:tcPr>
            <w:tcW w:w="6379" w:type="dxa"/>
            <w:shd w:val="clear" w:color="auto" w:fill="FFFFFF"/>
          </w:tcPr>
          <w:p w:rsidR="00417BCE" w:rsidRPr="00923972" w:rsidRDefault="00417BCE" w:rsidP="00B24118">
            <w:pPr>
              <w:spacing w:before="20" w:after="20" w:line="240" w:lineRule="auto"/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</w:pPr>
            <w:r w:rsidRPr="00923972">
              <w:rPr>
                <w:rFonts w:ascii="Verdana" w:eastAsia="Times New Roman" w:hAnsi="Verdana" w:cs="Helvetica"/>
                <w:color w:val="595959" w:themeColor="text1" w:themeTint="A6"/>
                <w:sz w:val="14"/>
                <w:szCs w:val="14"/>
                <w:lang w:eastAsia="ru-RU"/>
              </w:rPr>
              <w:t>Панельный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A5A5A"/>
                <w:sz w:val="14"/>
                <w:szCs w:val="14"/>
              </w:rPr>
            </w:pPr>
            <w:r>
              <w:rPr>
                <w:rFonts w:ascii="Verdana" w:hAnsi="Verdana" w:cs="Calibri"/>
                <w:color w:val="5A5A5A"/>
                <w:sz w:val="14"/>
                <w:szCs w:val="14"/>
              </w:rPr>
              <w:t>47 169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+45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417BCE" w:rsidRDefault="00417BCE" w:rsidP="00083CD8">
            <w:pPr>
              <w:spacing w:before="20" w:after="20"/>
              <w:jc w:val="center"/>
              <w:rPr>
                <w:rFonts w:ascii="Verdana" w:hAnsi="Verdana" w:cs="Calibri"/>
                <w:color w:val="595959"/>
                <w:sz w:val="14"/>
                <w:szCs w:val="14"/>
              </w:rPr>
            </w:pPr>
            <w:r>
              <w:rPr>
                <w:rFonts w:ascii="Verdana" w:hAnsi="Verdana" w:cs="Calibri"/>
                <w:color w:val="595959"/>
                <w:sz w:val="14"/>
                <w:szCs w:val="14"/>
              </w:rPr>
              <w:t>+0,10%</w:t>
            </w:r>
          </w:p>
        </w:tc>
      </w:tr>
    </w:tbl>
    <w:p w:rsidR="0085174A" w:rsidRPr="005269FC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1D61B6" w:rsidRDefault="0085174A" w:rsidP="0085174A">
      <w:pPr>
        <w:spacing w:after="60"/>
        <w:ind w:left="-142" w:right="-143"/>
        <w:rPr>
          <w:rFonts w:ascii="Verdana" w:hAnsi="Verdana" w:cs="Tahoma"/>
          <w:i/>
          <w:color w:val="595959"/>
          <w:sz w:val="12"/>
          <w:szCs w:val="12"/>
        </w:rPr>
        <w:sectPr w:rsidR="0085174A" w:rsidRPr="001D61B6" w:rsidSect="008517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414" w:gutter="0"/>
          <w:cols w:space="709"/>
          <w:docGrid w:linePitch="360"/>
        </w:sectPr>
      </w:pPr>
    </w:p>
    <w:p w:rsidR="0085174A" w:rsidRPr="006B45EA" w:rsidRDefault="0085174A" w:rsidP="00A57F6D">
      <w:pPr>
        <w:pStyle w:val="a4"/>
        <w:spacing w:before="60" w:beforeAutospacing="0" w:after="60" w:afterAutospacing="0"/>
        <w:ind w:left="-142" w:right="-143"/>
        <w:jc w:val="both"/>
        <w:rPr>
          <w:b/>
          <w:i/>
          <w:color w:val="E36C0A"/>
          <w:sz w:val="22"/>
          <w:szCs w:val="22"/>
        </w:rPr>
      </w:pPr>
      <w:r w:rsidRPr="006B45EA">
        <w:rPr>
          <w:b/>
          <w:i/>
          <w:color w:val="E36C0A"/>
          <w:sz w:val="22"/>
          <w:szCs w:val="22"/>
        </w:rPr>
        <w:lastRenderedPageBreak/>
        <w:t>Предложение</w:t>
      </w:r>
    </w:p>
    <w:p w:rsidR="00AF1888" w:rsidRDefault="00E5150E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В</w:t>
      </w:r>
      <w:r w:rsidR="00D71E2E" w:rsidRPr="000C7ED3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марте</w:t>
      </w:r>
      <w:r w:rsidR="00D71E2E" w:rsidRPr="000C7ED3">
        <w:rPr>
          <w:color w:val="595959"/>
          <w:sz w:val="16"/>
          <w:szCs w:val="16"/>
        </w:rPr>
        <w:t xml:space="preserve"> 2014 года объём предложения жилой недвижимости Воронежа </w:t>
      </w:r>
      <w:r>
        <w:rPr>
          <w:color w:val="595959"/>
          <w:sz w:val="16"/>
          <w:szCs w:val="16"/>
        </w:rPr>
        <w:t>практически не изменился</w:t>
      </w:r>
      <w:r w:rsidR="00083CD8">
        <w:rPr>
          <w:color w:val="595959"/>
          <w:sz w:val="16"/>
          <w:szCs w:val="16"/>
        </w:rPr>
        <w:t>,</w:t>
      </w:r>
      <w:r w:rsidR="00BE550F" w:rsidRPr="000C7ED3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увеличившись всего на 61 объект и составив</w:t>
      </w:r>
      <w:r w:rsidR="00083CD8">
        <w:rPr>
          <w:color w:val="595959"/>
          <w:sz w:val="16"/>
          <w:szCs w:val="16"/>
        </w:rPr>
        <w:t>, таким образом, 4 106 объектов</w:t>
      </w:r>
      <w:r w:rsidR="00831BF5">
        <w:rPr>
          <w:color w:val="595959"/>
          <w:sz w:val="16"/>
          <w:szCs w:val="16"/>
        </w:rPr>
        <w:t xml:space="preserve"> (4 045 на конец февраля)</w:t>
      </w:r>
      <w:r w:rsidR="00D71E2E" w:rsidRPr="00AF1888">
        <w:rPr>
          <w:color w:val="595959"/>
          <w:sz w:val="16"/>
          <w:szCs w:val="16"/>
        </w:rPr>
        <w:t>.</w:t>
      </w:r>
      <w:r w:rsidR="00FF2655" w:rsidRPr="00AF1888">
        <w:rPr>
          <w:color w:val="595959"/>
          <w:sz w:val="16"/>
          <w:szCs w:val="16"/>
        </w:rPr>
        <w:t xml:space="preserve"> </w:t>
      </w:r>
    </w:p>
    <w:p w:rsidR="00D71E2E" w:rsidRPr="00AF1888" w:rsidRDefault="00D0654F" w:rsidP="00AF1888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На рынке превалирует предложение вторичек (6</w:t>
      </w:r>
      <w:r>
        <w:rPr>
          <w:color w:val="595959"/>
          <w:sz w:val="16"/>
          <w:szCs w:val="16"/>
        </w:rPr>
        <w:t>1</w:t>
      </w:r>
      <w:r>
        <w:rPr>
          <w:color w:val="595959"/>
          <w:sz w:val="16"/>
          <w:szCs w:val="16"/>
        </w:rPr>
        <w:t>% совокупного предложения)</w:t>
      </w:r>
      <w:r w:rsidRPr="00D733DC">
        <w:rPr>
          <w:rFonts w:cs="Arial"/>
          <w:color w:val="595959"/>
          <w:sz w:val="16"/>
          <w:szCs w:val="16"/>
        </w:rPr>
        <w:t>.</w:t>
      </w:r>
      <w:r>
        <w:rPr>
          <w:color w:val="595959"/>
          <w:sz w:val="16"/>
          <w:szCs w:val="16"/>
        </w:rPr>
        <w:t xml:space="preserve"> </w:t>
      </w:r>
      <w:r w:rsidR="00D71E2E" w:rsidRPr="00AF1888">
        <w:rPr>
          <w:color w:val="595959"/>
          <w:sz w:val="16"/>
          <w:szCs w:val="16"/>
        </w:rPr>
        <w:t>Лидером</w:t>
      </w:r>
      <w:r w:rsidR="00D71E2E" w:rsidRPr="005D53E9">
        <w:rPr>
          <w:color w:val="595959"/>
          <w:sz w:val="16"/>
          <w:szCs w:val="16"/>
        </w:rPr>
        <w:t xml:space="preserve"> среди районов остается Коминтерновский район (</w:t>
      </w:r>
      <w:r w:rsidR="005D53E9" w:rsidRPr="00AF1888">
        <w:rPr>
          <w:color w:val="595959"/>
          <w:sz w:val="16"/>
          <w:szCs w:val="16"/>
        </w:rPr>
        <w:t>4</w:t>
      </w:r>
      <w:r w:rsidR="00831BF5">
        <w:rPr>
          <w:color w:val="595959"/>
          <w:sz w:val="16"/>
          <w:szCs w:val="16"/>
        </w:rPr>
        <w:t>1</w:t>
      </w:r>
      <w:r w:rsidR="00D71E2E" w:rsidRPr="005D53E9">
        <w:rPr>
          <w:color w:val="595959"/>
          <w:sz w:val="16"/>
          <w:szCs w:val="16"/>
        </w:rPr>
        <w:t>% совокупного предложения)</w:t>
      </w:r>
      <w:r w:rsidR="0028162F" w:rsidRPr="005D53E9">
        <w:rPr>
          <w:color w:val="595959"/>
          <w:sz w:val="16"/>
          <w:szCs w:val="16"/>
        </w:rPr>
        <w:t xml:space="preserve">. </w:t>
      </w:r>
      <w:r w:rsidR="00D71E2E" w:rsidRPr="005D53E9">
        <w:rPr>
          <w:color w:val="595959"/>
          <w:sz w:val="16"/>
          <w:szCs w:val="16"/>
        </w:rPr>
        <w:t>Предложение одно- и двухкомнатных квартир составляет более 2/3 совокупного предложения</w:t>
      </w:r>
      <w:r w:rsidR="00831BF5">
        <w:rPr>
          <w:color w:val="595959"/>
          <w:sz w:val="16"/>
          <w:szCs w:val="16"/>
        </w:rPr>
        <w:t xml:space="preserve"> (38% и 35% соответственно)</w:t>
      </w:r>
      <w:r w:rsidR="00D71E2E" w:rsidRPr="005D53E9">
        <w:rPr>
          <w:color w:val="595959"/>
          <w:sz w:val="16"/>
          <w:szCs w:val="16"/>
        </w:rPr>
        <w:t xml:space="preserve">, </w:t>
      </w:r>
      <w:r w:rsidR="00A46634" w:rsidRPr="005D53E9">
        <w:rPr>
          <w:color w:val="595959"/>
          <w:sz w:val="16"/>
          <w:szCs w:val="16"/>
        </w:rPr>
        <w:t>48</w:t>
      </w:r>
      <w:r w:rsidR="00D71E2E" w:rsidRPr="005D53E9">
        <w:rPr>
          <w:color w:val="595959"/>
          <w:sz w:val="16"/>
          <w:szCs w:val="16"/>
        </w:rPr>
        <w:t xml:space="preserve">% совокупного предложения </w:t>
      </w:r>
      <w:r w:rsidR="00D71E2E" w:rsidRPr="005D53E9">
        <w:rPr>
          <w:color w:val="595959"/>
          <w:sz w:val="16"/>
          <w:szCs w:val="16"/>
        </w:rPr>
        <w:lastRenderedPageBreak/>
        <w:t xml:space="preserve">составляют квартиры в кирпичных домах. Предложение квартир в современных домах </w:t>
      </w:r>
      <w:r w:rsidR="00831BF5">
        <w:rPr>
          <w:color w:val="595959"/>
          <w:sz w:val="16"/>
          <w:szCs w:val="16"/>
        </w:rPr>
        <w:t>снизилось</w:t>
      </w:r>
      <w:r w:rsidR="00A46634" w:rsidRPr="005D53E9">
        <w:rPr>
          <w:color w:val="595959"/>
          <w:sz w:val="16"/>
          <w:szCs w:val="16"/>
        </w:rPr>
        <w:t xml:space="preserve"> до</w:t>
      </w:r>
      <w:r w:rsidR="00D71E2E" w:rsidRPr="005D53E9">
        <w:rPr>
          <w:color w:val="595959"/>
          <w:sz w:val="16"/>
          <w:szCs w:val="16"/>
        </w:rPr>
        <w:t xml:space="preserve"> </w:t>
      </w:r>
      <w:r w:rsidR="00831BF5">
        <w:rPr>
          <w:color w:val="595959"/>
          <w:sz w:val="16"/>
          <w:szCs w:val="16"/>
        </w:rPr>
        <w:t>62</w:t>
      </w:r>
      <w:r w:rsidR="00D71E2E" w:rsidRPr="005D53E9">
        <w:rPr>
          <w:color w:val="595959"/>
          <w:sz w:val="16"/>
          <w:szCs w:val="16"/>
        </w:rPr>
        <w:t>%</w:t>
      </w:r>
      <w:r w:rsidR="00E5150E">
        <w:rPr>
          <w:color w:val="595959"/>
          <w:sz w:val="16"/>
          <w:szCs w:val="16"/>
        </w:rPr>
        <w:t xml:space="preserve"> (80% по итогам февраля 2014 года)</w:t>
      </w:r>
      <w:r w:rsidR="00D71E2E" w:rsidRPr="005D53E9">
        <w:rPr>
          <w:color w:val="595959"/>
          <w:sz w:val="16"/>
          <w:szCs w:val="16"/>
        </w:rPr>
        <w:t>.</w:t>
      </w:r>
    </w:p>
    <w:p w:rsidR="0085174A" w:rsidRDefault="0085174A" w:rsidP="00D71E2E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667242">
        <w:rPr>
          <w:rFonts w:ascii="Verdana" w:hAnsi="Verdana"/>
          <w:color w:val="E36C0A"/>
          <w:sz w:val="16"/>
          <w:szCs w:val="16"/>
        </w:rPr>
        <w:t xml:space="preserve">Рисунок </w:t>
      </w:r>
      <w:r w:rsidR="002314E2" w:rsidRPr="00667242">
        <w:rPr>
          <w:rFonts w:ascii="Verdana" w:hAnsi="Verdana"/>
          <w:color w:val="E36C0A"/>
          <w:sz w:val="16"/>
          <w:szCs w:val="16"/>
        </w:rPr>
        <w:fldChar w:fldCharType="begin"/>
      </w:r>
      <w:r w:rsidRPr="00667242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2314E2" w:rsidRPr="00667242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667242">
        <w:rPr>
          <w:rFonts w:ascii="Verdana" w:hAnsi="Verdana"/>
          <w:noProof/>
          <w:color w:val="E36C0A"/>
          <w:sz w:val="16"/>
          <w:szCs w:val="16"/>
        </w:rPr>
        <w:t>1</w:t>
      </w:r>
      <w:r w:rsidR="002314E2" w:rsidRPr="00667242">
        <w:rPr>
          <w:rFonts w:ascii="Verdana" w:hAnsi="Verdana"/>
          <w:color w:val="E36C0A"/>
          <w:sz w:val="16"/>
          <w:szCs w:val="16"/>
        </w:rPr>
        <w:fldChar w:fldCharType="end"/>
      </w:r>
      <w:r w:rsidRPr="00667242">
        <w:rPr>
          <w:rFonts w:ascii="Verdana" w:hAnsi="Verdana"/>
          <w:color w:val="E36C0A"/>
          <w:sz w:val="16"/>
          <w:szCs w:val="16"/>
        </w:rPr>
        <w:t>.</w:t>
      </w:r>
      <w:r w:rsidRPr="00667242">
        <w:rPr>
          <w:rFonts w:ascii="Verdana" w:hAnsi="Verdana"/>
          <w:color w:val="595959"/>
          <w:sz w:val="16"/>
          <w:szCs w:val="16"/>
        </w:rPr>
        <w:t xml:space="preserve"> С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труктура предложения квартир Воронежа на конец </w:t>
      </w:r>
      <w:r w:rsidR="005A08B8">
        <w:rPr>
          <w:rFonts w:ascii="Verdana" w:hAnsi="Verdana" w:cs="Tahoma"/>
          <w:bCs w:val="0"/>
          <w:color w:val="595959"/>
          <w:sz w:val="16"/>
          <w:szCs w:val="16"/>
        </w:rPr>
        <w:t>марта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 xml:space="preserve"> 201</w:t>
      </w:r>
      <w:r w:rsidR="00E818D9" w:rsidRPr="00667242">
        <w:rPr>
          <w:rFonts w:ascii="Verdana" w:hAnsi="Verdana" w:cs="Tahoma"/>
          <w:bCs w:val="0"/>
          <w:color w:val="595959"/>
          <w:sz w:val="16"/>
          <w:szCs w:val="16"/>
        </w:rPr>
        <w:t>4</w:t>
      </w:r>
      <w:r w:rsidRPr="00667242">
        <w:rPr>
          <w:rFonts w:ascii="Verdana" w:hAnsi="Verdana" w:cs="Tahoma"/>
          <w:bCs w:val="0"/>
          <w:color w:val="595959"/>
          <w:sz w:val="16"/>
          <w:szCs w:val="16"/>
        </w:rPr>
        <w:t>г., %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85174A" w:rsidRPr="0026474A" w:rsidTr="00FE1999">
        <w:tc>
          <w:tcPr>
            <w:tcW w:w="4856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432" cy="180000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3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2" cy="1800000"/>
                  <wp:effectExtent l="19050" t="0" r="1468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5C08BB"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667242">
        <w:tc>
          <w:tcPr>
            <w:tcW w:w="4856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3" cy="1800000"/>
                  <wp:effectExtent l="19050" t="0" r="1467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432" cy="1800000"/>
                  <wp:effectExtent l="1905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3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5C08BB"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856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504498" w:rsidRDefault="0085174A" w:rsidP="00A57F6D">
      <w:pPr>
        <w:pStyle w:val="a4"/>
        <w:spacing w:before="60" w:beforeAutospacing="0" w:after="60" w:afterAutospacing="0"/>
        <w:ind w:left="-142"/>
        <w:jc w:val="both"/>
        <w:rPr>
          <w:i/>
          <w:color w:val="E36C0A"/>
          <w:sz w:val="22"/>
          <w:szCs w:val="22"/>
        </w:rPr>
      </w:pPr>
      <w:r w:rsidRPr="00504498">
        <w:rPr>
          <w:b/>
          <w:i/>
          <w:color w:val="E36C0A"/>
          <w:sz w:val="22"/>
          <w:szCs w:val="22"/>
        </w:rPr>
        <w:t>Спрос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/>
          <w:sz w:val="16"/>
          <w:szCs w:val="16"/>
        </w:rPr>
        <w:t xml:space="preserve">Среди основных мотивов приобретения квартиры традиционно выделяют: улучшение жилищных условий, последующую сдачу в аренду и инвестиции.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При сравнении спроса на первичном и вторичном рынке, главным определяющим фактором является цена. При прочих равных покупатели отдадут предпочтение готовому жилью. При этом основная доля воронежцев предпочитает покупку новостроек в кирпичных и монолитно-кирпичных домах современного типа.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 xml:space="preserve">Наибольшим спросом пользуются одно- и двухкомнатные квартиры эконом-класса, как наиболее ликвидные и недорогие. </w:t>
      </w:r>
    </w:p>
    <w:p w:rsidR="003518A9" w:rsidRPr="00E8070B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 w:themeColor="text1" w:themeTint="A6"/>
          <w:sz w:val="16"/>
          <w:szCs w:val="16"/>
        </w:rPr>
      </w:pPr>
      <w:r w:rsidRPr="00E8070B">
        <w:rPr>
          <w:color w:val="595959" w:themeColor="text1" w:themeTint="A6"/>
          <w:sz w:val="16"/>
          <w:szCs w:val="16"/>
        </w:rPr>
        <w:t>Среди районов наиболее востребована недвижимость в Коминтерновском (в первую очередь, в Северном микрорайоне) и Советском районах города. Чаще всего воронежцы предпочитают не переезжать в другие районы, а покупать квартиры в том же районе, где живут.</w:t>
      </w:r>
    </w:p>
    <w:p w:rsidR="003518A9" w:rsidRDefault="003518A9" w:rsidP="00444AA6">
      <w:pPr>
        <w:pStyle w:val="a4"/>
        <w:shd w:val="clear" w:color="auto" w:fill="FFFFFF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E8070B">
        <w:rPr>
          <w:color w:val="595959"/>
          <w:sz w:val="16"/>
          <w:szCs w:val="16"/>
        </w:rPr>
        <w:t>Основное внимание покупателей при рассмотрении жилья в качестве объекта инвестирования уделяется местоположению объекта, удобству планировки, качеству строительства и репутации компании-застройщика, а также перспективам развития социально-бытовой инфраструктуры района расположения.</w:t>
      </w:r>
    </w:p>
    <w:p w:rsidR="0085174A" w:rsidRPr="00B078F9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B078F9">
        <w:rPr>
          <w:b/>
          <w:i/>
          <w:color w:val="E36C0A"/>
          <w:sz w:val="22"/>
          <w:szCs w:val="22"/>
        </w:rPr>
        <w:t>Ценовая ситуация</w:t>
      </w:r>
    </w:p>
    <w:p w:rsidR="005325EA" w:rsidRPr="00CF5C7C" w:rsidRDefault="0085174A" w:rsidP="0085174A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CF5C7C">
        <w:rPr>
          <w:color w:val="595959"/>
          <w:sz w:val="16"/>
          <w:szCs w:val="16"/>
        </w:rPr>
        <w:t>За</w:t>
      </w:r>
      <w:r w:rsidR="00E463EC" w:rsidRPr="00CF5C7C">
        <w:rPr>
          <w:color w:val="595959"/>
          <w:sz w:val="16"/>
          <w:szCs w:val="16"/>
        </w:rPr>
        <w:t xml:space="preserve"> </w:t>
      </w:r>
      <w:r w:rsidR="005A08B8">
        <w:rPr>
          <w:color w:val="595959"/>
          <w:sz w:val="16"/>
          <w:szCs w:val="16"/>
        </w:rPr>
        <w:t>март</w:t>
      </w:r>
      <w:r w:rsidRPr="00CF5C7C">
        <w:rPr>
          <w:color w:val="595959"/>
          <w:sz w:val="16"/>
          <w:szCs w:val="16"/>
        </w:rPr>
        <w:t xml:space="preserve"> </w:t>
      </w:r>
      <w:r w:rsidR="00C91645" w:rsidRPr="008368AE">
        <w:rPr>
          <w:color w:val="595959"/>
          <w:sz w:val="16"/>
          <w:szCs w:val="16"/>
        </w:rPr>
        <w:t>средневзвешенная</w:t>
      </w:r>
      <w:r w:rsidR="00C91645">
        <w:rPr>
          <w:color w:val="595959"/>
          <w:sz w:val="16"/>
          <w:szCs w:val="16"/>
        </w:rPr>
        <w:t xml:space="preserve"> удельная</w:t>
      </w:r>
      <w:r w:rsidR="00C91645" w:rsidRPr="008368AE">
        <w:rPr>
          <w:color w:val="595959"/>
          <w:sz w:val="16"/>
          <w:szCs w:val="16"/>
        </w:rPr>
        <w:t xml:space="preserve"> цена предложения </w:t>
      </w:r>
      <w:r w:rsidRPr="00CF5C7C">
        <w:rPr>
          <w:color w:val="595959"/>
          <w:sz w:val="16"/>
          <w:szCs w:val="16"/>
        </w:rPr>
        <w:t xml:space="preserve">квартир в Воронеже </w:t>
      </w:r>
      <w:r w:rsidR="00E5150E">
        <w:rPr>
          <w:color w:val="595959"/>
          <w:sz w:val="16"/>
          <w:szCs w:val="16"/>
        </w:rPr>
        <w:t>выросла</w:t>
      </w:r>
      <w:r w:rsidR="00D465ED" w:rsidRPr="00CF5C7C">
        <w:rPr>
          <w:color w:val="595959"/>
          <w:sz w:val="16"/>
          <w:szCs w:val="16"/>
        </w:rPr>
        <w:t xml:space="preserve"> </w:t>
      </w:r>
      <w:r w:rsidR="00B204F7" w:rsidRPr="00CF5C7C">
        <w:rPr>
          <w:color w:val="595959"/>
          <w:sz w:val="16"/>
          <w:szCs w:val="16"/>
        </w:rPr>
        <w:t>на</w:t>
      </w:r>
      <w:r w:rsidRPr="00CF5C7C">
        <w:rPr>
          <w:color w:val="595959"/>
          <w:sz w:val="16"/>
          <w:szCs w:val="16"/>
        </w:rPr>
        <w:t xml:space="preserve"> </w:t>
      </w:r>
      <w:r w:rsidR="00831BF5">
        <w:rPr>
          <w:color w:val="595959"/>
          <w:sz w:val="16"/>
          <w:szCs w:val="16"/>
        </w:rPr>
        <w:t>1</w:t>
      </w:r>
      <w:r w:rsidR="004F4F3B" w:rsidRPr="00CF5C7C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45</w:t>
      </w:r>
      <w:r w:rsidR="00B204F7" w:rsidRPr="00CF5C7C">
        <w:rPr>
          <w:color w:val="595959"/>
          <w:sz w:val="16"/>
          <w:szCs w:val="16"/>
        </w:rPr>
        <w:t>%, составив</w:t>
      </w:r>
      <w:r w:rsidRPr="00CF5C7C">
        <w:rPr>
          <w:color w:val="595959"/>
          <w:sz w:val="16"/>
          <w:szCs w:val="16"/>
        </w:rPr>
        <w:t xml:space="preserve"> на конец месяца </w:t>
      </w:r>
      <w:r w:rsidR="00F01072" w:rsidRPr="00CF5C7C">
        <w:rPr>
          <w:color w:val="595959"/>
          <w:sz w:val="16"/>
          <w:szCs w:val="16"/>
        </w:rPr>
        <w:t>4</w:t>
      </w:r>
      <w:r w:rsidR="00831BF5">
        <w:rPr>
          <w:color w:val="595959"/>
          <w:sz w:val="16"/>
          <w:szCs w:val="16"/>
        </w:rPr>
        <w:t>8</w:t>
      </w:r>
      <w:r w:rsidR="0017297C" w:rsidRPr="00CF5C7C">
        <w:rPr>
          <w:color w:val="595959"/>
          <w:sz w:val="16"/>
          <w:szCs w:val="16"/>
        </w:rPr>
        <w:t> </w:t>
      </w:r>
      <w:r w:rsidR="00831BF5">
        <w:rPr>
          <w:color w:val="595959"/>
          <w:sz w:val="16"/>
          <w:szCs w:val="16"/>
        </w:rPr>
        <w:t>505</w:t>
      </w:r>
      <w:r w:rsidRPr="00CF5C7C">
        <w:rPr>
          <w:color w:val="595959"/>
          <w:sz w:val="16"/>
          <w:szCs w:val="16"/>
        </w:rPr>
        <w:t xml:space="preserve"> руб./кв. м (</w:t>
      </w:r>
      <w:r w:rsidR="00831BF5" w:rsidRPr="00CF5C7C">
        <w:rPr>
          <w:color w:val="595959"/>
          <w:sz w:val="16"/>
          <w:szCs w:val="16"/>
        </w:rPr>
        <w:t>47</w:t>
      </w:r>
      <w:r w:rsidR="00E5150E">
        <w:rPr>
          <w:color w:val="595959"/>
          <w:sz w:val="16"/>
          <w:szCs w:val="16"/>
        </w:rPr>
        <w:t> </w:t>
      </w:r>
      <w:r w:rsidR="00831BF5" w:rsidRPr="00CF5C7C">
        <w:rPr>
          <w:color w:val="595959"/>
          <w:sz w:val="16"/>
          <w:szCs w:val="16"/>
        </w:rPr>
        <w:t>811</w:t>
      </w:r>
      <w:r w:rsidR="00E5150E">
        <w:rPr>
          <w:color w:val="595959"/>
          <w:sz w:val="16"/>
          <w:szCs w:val="16"/>
        </w:rPr>
        <w:t xml:space="preserve"> </w:t>
      </w:r>
      <w:r w:rsidRPr="00CF5C7C">
        <w:rPr>
          <w:color w:val="595959"/>
          <w:sz w:val="16"/>
          <w:szCs w:val="16"/>
        </w:rPr>
        <w:t xml:space="preserve">руб./кв. м на конец </w:t>
      </w:r>
      <w:r w:rsidR="00831BF5">
        <w:rPr>
          <w:color w:val="595959"/>
          <w:sz w:val="16"/>
          <w:szCs w:val="16"/>
        </w:rPr>
        <w:t>февраля</w:t>
      </w:r>
      <w:r w:rsidRPr="00CF5C7C">
        <w:rPr>
          <w:color w:val="595959"/>
          <w:sz w:val="16"/>
          <w:szCs w:val="16"/>
        </w:rPr>
        <w:t xml:space="preserve">). </w:t>
      </w:r>
    </w:p>
    <w:p w:rsidR="0020119B" w:rsidRDefault="00E5150E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П</w:t>
      </w:r>
      <w:r w:rsidR="006F260F" w:rsidRPr="00CF5C7C">
        <w:rPr>
          <w:color w:val="595959"/>
          <w:sz w:val="16"/>
          <w:szCs w:val="16"/>
        </w:rPr>
        <w:t>оступательный рост цен продолжился</w:t>
      </w:r>
      <w:r w:rsidR="002404A2" w:rsidRPr="00CF5C7C">
        <w:rPr>
          <w:color w:val="595959"/>
          <w:sz w:val="16"/>
          <w:szCs w:val="16"/>
        </w:rPr>
        <w:t xml:space="preserve">. </w:t>
      </w:r>
      <w:r w:rsidR="00122543" w:rsidRPr="002867AD">
        <w:rPr>
          <w:color w:val="595959"/>
          <w:sz w:val="16"/>
          <w:szCs w:val="16"/>
        </w:rPr>
        <w:t xml:space="preserve">Наибольшая динамика роста цен в зависимости от количества комнат в </w:t>
      </w:r>
      <w:r w:rsidR="005A08B8">
        <w:rPr>
          <w:color w:val="595959"/>
          <w:sz w:val="16"/>
          <w:szCs w:val="16"/>
        </w:rPr>
        <w:t>марте</w:t>
      </w:r>
      <w:r w:rsidR="00122543" w:rsidRPr="002867AD">
        <w:rPr>
          <w:color w:val="595959"/>
          <w:sz w:val="16"/>
          <w:szCs w:val="16"/>
        </w:rPr>
        <w:t xml:space="preserve"> зафиксирована по </w:t>
      </w:r>
      <w:r w:rsidR="00342BEE" w:rsidRPr="002867AD">
        <w:rPr>
          <w:color w:val="595959"/>
          <w:sz w:val="16"/>
          <w:szCs w:val="16"/>
        </w:rPr>
        <w:t>одно</w:t>
      </w:r>
      <w:r w:rsidR="00122543" w:rsidRPr="002867AD">
        <w:rPr>
          <w:color w:val="595959"/>
          <w:sz w:val="16"/>
          <w:szCs w:val="16"/>
        </w:rPr>
        <w:t xml:space="preserve">-, </w:t>
      </w:r>
      <w:r w:rsidR="00831BF5">
        <w:rPr>
          <w:color w:val="595959"/>
          <w:sz w:val="16"/>
          <w:szCs w:val="16"/>
        </w:rPr>
        <w:t>двух</w:t>
      </w:r>
      <w:r w:rsidR="00122543" w:rsidRPr="002867AD">
        <w:rPr>
          <w:color w:val="595959"/>
          <w:sz w:val="16"/>
          <w:szCs w:val="16"/>
        </w:rPr>
        <w:t xml:space="preserve">- и </w:t>
      </w:r>
      <w:r>
        <w:rPr>
          <w:color w:val="595959"/>
          <w:sz w:val="16"/>
          <w:szCs w:val="16"/>
        </w:rPr>
        <w:t>трех</w:t>
      </w:r>
      <w:r w:rsidR="00122543" w:rsidRPr="002867AD">
        <w:rPr>
          <w:color w:val="595959"/>
          <w:sz w:val="16"/>
          <w:szCs w:val="16"/>
        </w:rPr>
        <w:t>комнатным квартирам (+</w:t>
      </w:r>
      <w:r w:rsidR="00831BF5">
        <w:rPr>
          <w:color w:val="595959"/>
          <w:sz w:val="16"/>
          <w:szCs w:val="16"/>
        </w:rPr>
        <w:t>1</w:t>
      </w:r>
      <w:r w:rsidR="00122543" w:rsidRPr="002867AD">
        <w:rPr>
          <w:color w:val="595959"/>
          <w:sz w:val="16"/>
          <w:szCs w:val="16"/>
        </w:rPr>
        <w:t>,</w:t>
      </w:r>
      <w:r w:rsidR="00342BEE" w:rsidRPr="002867AD">
        <w:rPr>
          <w:color w:val="595959"/>
          <w:sz w:val="16"/>
          <w:szCs w:val="16"/>
        </w:rPr>
        <w:t>84</w:t>
      </w:r>
      <w:r>
        <w:rPr>
          <w:color w:val="595959"/>
          <w:sz w:val="16"/>
          <w:szCs w:val="16"/>
        </w:rPr>
        <w:t xml:space="preserve">%, </w:t>
      </w:r>
      <w:r w:rsidR="00122543" w:rsidRPr="002867AD">
        <w:rPr>
          <w:color w:val="595959"/>
          <w:sz w:val="16"/>
          <w:szCs w:val="16"/>
        </w:rPr>
        <w:t>+</w:t>
      </w:r>
      <w:r w:rsidR="00831BF5">
        <w:rPr>
          <w:color w:val="595959"/>
          <w:sz w:val="16"/>
          <w:szCs w:val="16"/>
        </w:rPr>
        <w:t>2</w:t>
      </w:r>
      <w:r w:rsidR="00122543" w:rsidRPr="002867AD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02</w:t>
      </w:r>
      <w:r w:rsidR="00122543" w:rsidRPr="002867AD">
        <w:rPr>
          <w:color w:val="595959"/>
          <w:sz w:val="16"/>
          <w:szCs w:val="16"/>
        </w:rPr>
        <w:t xml:space="preserve">% </w:t>
      </w:r>
      <w:r>
        <w:rPr>
          <w:color w:val="595959"/>
          <w:sz w:val="16"/>
          <w:szCs w:val="16"/>
        </w:rPr>
        <w:t xml:space="preserve">и +1,61% </w:t>
      </w:r>
      <w:r w:rsidR="00122543" w:rsidRPr="002867AD">
        <w:rPr>
          <w:color w:val="595959"/>
          <w:sz w:val="16"/>
          <w:szCs w:val="16"/>
        </w:rPr>
        <w:t xml:space="preserve">соответственно). Зафиксирован рост цен на квартиры в </w:t>
      </w:r>
      <w:r w:rsidR="00B40E03" w:rsidRPr="002867AD">
        <w:rPr>
          <w:color w:val="595959"/>
          <w:sz w:val="16"/>
          <w:szCs w:val="16"/>
        </w:rPr>
        <w:t>сталинках</w:t>
      </w:r>
      <w:r w:rsidR="00122543" w:rsidRPr="002867AD">
        <w:rPr>
          <w:color w:val="595959"/>
          <w:sz w:val="16"/>
          <w:szCs w:val="16"/>
        </w:rPr>
        <w:t xml:space="preserve"> (+</w:t>
      </w:r>
      <w:r w:rsidR="00B40E03" w:rsidRPr="002867AD">
        <w:rPr>
          <w:color w:val="595959"/>
          <w:sz w:val="16"/>
          <w:szCs w:val="16"/>
        </w:rPr>
        <w:t>2</w:t>
      </w:r>
      <w:r w:rsidR="00122543" w:rsidRPr="002867AD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62</w:t>
      </w:r>
      <w:r w:rsidR="00122543" w:rsidRPr="002867AD">
        <w:rPr>
          <w:color w:val="595959"/>
          <w:sz w:val="16"/>
          <w:szCs w:val="16"/>
        </w:rPr>
        <w:t xml:space="preserve">%), </w:t>
      </w:r>
      <w:r>
        <w:rPr>
          <w:color w:val="595959"/>
          <w:sz w:val="16"/>
          <w:szCs w:val="16"/>
        </w:rPr>
        <w:t xml:space="preserve">брежневках (+1,73%) и современных домах (+1,92%). Подорожали дома </w:t>
      </w:r>
      <w:r w:rsidR="00B40E03" w:rsidRPr="002867AD">
        <w:rPr>
          <w:color w:val="595959"/>
          <w:sz w:val="16"/>
          <w:szCs w:val="16"/>
        </w:rPr>
        <w:t>кирпич</w:t>
      </w:r>
      <w:r>
        <w:rPr>
          <w:color w:val="595959"/>
          <w:sz w:val="16"/>
          <w:szCs w:val="16"/>
        </w:rPr>
        <w:t>ной</w:t>
      </w:r>
      <w:r w:rsidR="00B40E03" w:rsidRPr="002867AD">
        <w:rPr>
          <w:color w:val="595959"/>
          <w:sz w:val="16"/>
          <w:szCs w:val="16"/>
        </w:rPr>
        <w:t xml:space="preserve"> постройки (+</w:t>
      </w:r>
      <w:r w:rsidR="00831BF5">
        <w:rPr>
          <w:color w:val="595959"/>
          <w:sz w:val="16"/>
          <w:szCs w:val="16"/>
        </w:rPr>
        <w:t>2</w:t>
      </w:r>
      <w:r w:rsidR="00B40E03" w:rsidRPr="002867AD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52</w:t>
      </w:r>
      <w:r w:rsidR="00122543" w:rsidRPr="002867AD">
        <w:rPr>
          <w:color w:val="595959"/>
          <w:sz w:val="16"/>
          <w:szCs w:val="16"/>
        </w:rPr>
        <w:t xml:space="preserve">%). </w:t>
      </w:r>
      <w:r w:rsidR="00BB10DD">
        <w:rPr>
          <w:color w:val="595959"/>
          <w:sz w:val="16"/>
          <w:szCs w:val="16"/>
        </w:rPr>
        <w:t>Резкий</w:t>
      </w:r>
      <w:r w:rsidR="00122543" w:rsidRPr="002867AD">
        <w:rPr>
          <w:color w:val="595959"/>
          <w:sz w:val="16"/>
          <w:szCs w:val="16"/>
        </w:rPr>
        <w:t xml:space="preserve"> рост цен на квартиры </w:t>
      </w:r>
      <w:r w:rsidR="002867AD" w:rsidRPr="002867AD">
        <w:rPr>
          <w:color w:val="595959"/>
          <w:sz w:val="16"/>
          <w:szCs w:val="16"/>
        </w:rPr>
        <w:t xml:space="preserve">в </w:t>
      </w:r>
      <w:r w:rsidR="00831BF5">
        <w:rPr>
          <w:color w:val="595959"/>
          <w:sz w:val="16"/>
          <w:szCs w:val="16"/>
        </w:rPr>
        <w:t>Центральном</w:t>
      </w:r>
      <w:r w:rsidR="002867AD" w:rsidRPr="002867AD">
        <w:rPr>
          <w:color w:val="595959"/>
          <w:sz w:val="16"/>
          <w:szCs w:val="16"/>
        </w:rPr>
        <w:t xml:space="preserve"> и </w:t>
      </w:r>
      <w:r w:rsidR="00831BF5">
        <w:rPr>
          <w:color w:val="595959"/>
          <w:sz w:val="16"/>
          <w:szCs w:val="16"/>
        </w:rPr>
        <w:t>Ленинском</w:t>
      </w:r>
      <w:r w:rsidR="002867AD" w:rsidRPr="002867AD">
        <w:rPr>
          <w:color w:val="595959"/>
          <w:sz w:val="16"/>
          <w:szCs w:val="16"/>
        </w:rPr>
        <w:t xml:space="preserve"> районах (+</w:t>
      </w:r>
      <w:r w:rsidR="00831BF5">
        <w:rPr>
          <w:color w:val="595959"/>
          <w:sz w:val="16"/>
          <w:szCs w:val="16"/>
        </w:rPr>
        <w:t>6</w:t>
      </w:r>
      <w:r w:rsidR="002867AD" w:rsidRPr="002867AD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14</w:t>
      </w:r>
      <w:r w:rsidR="002867AD" w:rsidRPr="002867AD">
        <w:rPr>
          <w:color w:val="595959"/>
          <w:sz w:val="16"/>
          <w:szCs w:val="16"/>
        </w:rPr>
        <w:t>% и +</w:t>
      </w:r>
      <w:r w:rsidR="00831BF5">
        <w:rPr>
          <w:color w:val="595959"/>
          <w:sz w:val="16"/>
          <w:szCs w:val="16"/>
        </w:rPr>
        <w:t>6</w:t>
      </w:r>
      <w:r w:rsidR="002867AD" w:rsidRPr="002867AD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48</w:t>
      </w:r>
      <w:r w:rsidR="00122543" w:rsidRPr="002867AD">
        <w:rPr>
          <w:color w:val="595959"/>
          <w:sz w:val="16"/>
          <w:szCs w:val="16"/>
        </w:rPr>
        <w:t>% соответственно)</w:t>
      </w:r>
      <w:r w:rsidR="00BB10DD">
        <w:rPr>
          <w:color w:val="595959"/>
          <w:sz w:val="16"/>
          <w:szCs w:val="16"/>
        </w:rPr>
        <w:t xml:space="preserve"> объясняется структурными изменениями (ростом </w:t>
      </w:r>
      <w:r w:rsidR="00BB10DD" w:rsidRPr="00F95F87">
        <w:rPr>
          <w:color w:val="595959"/>
          <w:sz w:val="16"/>
          <w:szCs w:val="16"/>
        </w:rPr>
        <w:t xml:space="preserve">доли </w:t>
      </w:r>
      <w:r w:rsidR="00BB10DD">
        <w:rPr>
          <w:color w:val="595959"/>
          <w:sz w:val="16"/>
          <w:szCs w:val="16"/>
        </w:rPr>
        <w:t xml:space="preserve">дорогого </w:t>
      </w:r>
      <w:r w:rsidR="00BB10DD" w:rsidRPr="00F95F87">
        <w:rPr>
          <w:color w:val="595959"/>
          <w:sz w:val="16"/>
          <w:szCs w:val="16"/>
        </w:rPr>
        <w:t>предложения)</w:t>
      </w:r>
      <w:r w:rsidR="00122543" w:rsidRPr="002867AD">
        <w:rPr>
          <w:color w:val="595959"/>
          <w:sz w:val="16"/>
          <w:szCs w:val="16"/>
        </w:rPr>
        <w:t>.</w:t>
      </w:r>
    </w:p>
    <w:p w:rsidR="00122543" w:rsidRDefault="00122543" w:rsidP="00122543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  <w:r w:rsidRPr="0020119B">
        <w:rPr>
          <w:color w:val="595959"/>
          <w:sz w:val="16"/>
          <w:szCs w:val="16"/>
        </w:rPr>
        <w:t xml:space="preserve">Рост в сегменте </w:t>
      </w:r>
      <w:r w:rsidR="00831BF5">
        <w:rPr>
          <w:color w:val="595959"/>
          <w:sz w:val="16"/>
          <w:szCs w:val="16"/>
        </w:rPr>
        <w:t>вторичного жилья</w:t>
      </w:r>
      <w:r w:rsidRPr="0020119B">
        <w:rPr>
          <w:color w:val="595959"/>
          <w:sz w:val="16"/>
          <w:szCs w:val="16"/>
        </w:rPr>
        <w:t xml:space="preserve"> по итогам </w:t>
      </w:r>
      <w:r w:rsidR="00831BF5">
        <w:rPr>
          <w:color w:val="595959"/>
          <w:sz w:val="16"/>
          <w:szCs w:val="16"/>
        </w:rPr>
        <w:t>марта</w:t>
      </w:r>
      <w:r w:rsidRPr="0020119B">
        <w:rPr>
          <w:color w:val="595959"/>
          <w:sz w:val="16"/>
          <w:szCs w:val="16"/>
        </w:rPr>
        <w:t xml:space="preserve"> составил +</w:t>
      </w:r>
      <w:r w:rsidR="00831BF5">
        <w:rPr>
          <w:color w:val="595959"/>
          <w:sz w:val="16"/>
          <w:szCs w:val="16"/>
        </w:rPr>
        <w:t>4</w:t>
      </w:r>
      <w:r w:rsidR="0020119B" w:rsidRPr="0020119B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24</w:t>
      </w:r>
      <w:r w:rsidRPr="0020119B">
        <w:rPr>
          <w:color w:val="595959"/>
          <w:sz w:val="16"/>
          <w:szCs w:val="16"/>
        </w:rPr>
        <w:t xml:space="preserve">%, в то время как </w:t>
      </w:r>
      <w:r w:rsidR="005911CE">
        <w:rPr>
          <w:color w:val="595959"/>
          <w:sz w:val="16"/>
          <w:szCs w:val="16"/>
        </w:rPr>
        <w:t>месяц назад вторички потеряли 2,28% стоимости. Ц</w:t>
      </w:r>
      <w:r w:rsidR="0020119B" w:rsidRPr="0020119B">
        <w:rPr>
          <w:color w:val="595959"/>
          <w:sz w:val="16"/>
          <w:szCs w:val="16"/>
        </w:rPr>
        <w:t xml:space="preserve">ены на </w:t>
      </w:r>
      <w:r w:rsidR="00831BF5">
        <w:rPr>
          <w:color w:val="595959"/>
          <w:sz w:val="16"/>
          <w:szCs w:val="16"/>
        </w:rPr>
        <w:t>новостройки</w:t>
      </w:r>
      <w:r w:rsidR="0020119B" w:rsidRPr="0020119B">
        <w:rPr>
          <w:color w:val="595959"/>
          <w:sz w:val="16"/>
          <w:szCs w:val="16"/>
        </w:rPr>
        <w:t xml:space="preserve"> снизились на </w:t>
      </w:r>
      <w:r w:rsidR="00831BF5">
        <w:rPr>
          <w:color w:val="595959"/>
          <w:sz w:val="16"/>
          <w:szCs w:val="16"/>
        </w:rPr>
        <w:t>3</w:t>
      </w:r>
      <w:r w:rsidR="0020119B" w:rsidRPr="0020119B">
        <w:rPr>
          <w:color w:val="595959"/>
          <w:sz w:val="16"/>
          <w:szCs w:val="16"/>
        </w:rPr>
        <w:t>,2</w:t>
      </w:r>
      <w:r w:rsidR="00831BF5">
        <w:rPr>
          <w:color w:val="595959"/>
          <w:sz w:val="16"/>
          <w:szCs w:val="16"/>
        </w:rPr>
        <w:t>2</w:t>
      </w:r>
      <w:r w:rsidR="0020119B" w:rsidRPr="0020119B">
        <w:rPr>
          <w:color w:val="595959"/>
          <w:sz w:val="16"/>
          <w:szCs w:val="16"/>
        </w:rPr>
        <w:t>%</w:t>
      </w:r>
      <w:r w:rsidR="00545468">
        <w:rPr>
          <w:color w:val="595959"/>
          <w:sz w:val="16"/>
          <w:szCs w:val="16"/>
        </w:rPr>
        <w:t xml:space="preserve">, </w:t>
      </w:r>
      <w:r w:rsidR="005911CE">
        <w:rPr>
          <w:color w:val="595959"/>
          <w:sz w:val="16"/>
          <w:szCs w:val="16"/>
        </w:rPr>
        <w:t>показав в феврале рост 6,15%</w:t>
      </w:r>
      <w:r w:rsidR="00CC72CE">
        <w:rPr>
          <w:color w:val="595959"/>
          <w:sz w:val="16"/>
          <w:szCs w:val="16"/>
        </w:rPr>
        <w:t>. Данная динамика цен также свидетельствует о структурных изменениях в предложении.</w:t>
      </w:r>
    </w:p>
    <w:p w:rsidR="00835BD4" w:rsidRDefault="00835BD4" w:rsidP="00557E7E">
      <w:pPr>
        <w:pStyle w:val="a4"/>
        <w:spacing w:before="0" w:beforeAutospacing="0" w:after="60" w:afterAutospacing="0"/>
        <w:ind w:left="-142"/>
        <w:jc w:val="both"/>
        <w:rPr>
          <w:color w:val="595959"/>
          <w:sz w:val="16"/>
          <w:szCs w:val="16"/>
        </w:rPr>
      </w:pPr>
    </w:p>
    <w:p w:rsidR="0085174A" w:rsidRDefault="0085174A" w:rsidP="0085174A">
      <w:pPr>
        <w:pStyle w:val="ab"/>
        <w:spacing w:before="120" w:after="60"/>
        <w:ind w:left="-142"/>
        <w:jc w:val="center"/>
        <w:rPr>
          <w:rFonts w:ascii="Verdana" w:hAnsi="Verdana" w:cs="Tahoma"/>
          <w:b w:val="0"/>
          <w:bCs w:val="0"/>
          <w:color w:val="595959"/>
          <w:sz w:val="16"/>
          <w:szCs w:val="16"/>
        </w:rPr>
      </w:pPr>
      <w:r w:rsidRPr="00EB6D7F">
        <w:rPr>
          <w:rFonts w:ascii="Verdana" w:hAnsi="Verdana"/>
          <w:color w:val="E36C0A"/>
          <w:sz w:val="16"/>
          <w:szCs w:val="16"/>
        </w:rPr>
        <w:lastRenderedPageBreak/>
        <w:t xml:space="preserve">Рисунок </w:t>
      </w:r>
      <w:r w:rsidR="002314E2" w:rsidRPr="00EB6D7F">
        <w:rPr>
          <w:rFonts w:ascii="Verdana" w:hAnsi="Verdana"/>
          <w:color w:val="E36C0A"/>
          <w:sz w:val="16"/>
          <w:szCs w:val="16"/>
        </w:rPr>
        <w:fldChar w:fldCharType="begin"/>
      </w:r>
      <w:r w:rsidRPr="00EB6D7F">
        <w:rPr>
          <w:rFonts w:ascii="Verdana" w:hAnsi="Verdana"/>
          <w:color w:val="E36C0A"/>
          <w:sz w:val="16"/>
          <w:szCs w:val="16"/>
        </w:rPr>
        <w:instrText xml:space="preserve"> SEQ Рисунок \* ARABIC </w:instrText>
      </w:r>
      <w:r w:rsidR="002314E2" w:rsidRPr="00EB6D7F">
        <w:rPr>
          <w:rFonts w:ascii="Verdana" w:hAnsi="Verdana"/>
          <w:color w:val="E36C0A"/>
          <w:sz w:val="16"/>
          <w:szCs w:val="16"/>
        </w:rPr>
        <w:fldChar w:fldCharType="separate"/>
      </w:r>
      <w:r w:rsidR="00F93F9E" w:rsidRPr="00EB6D7F">
        <w:rPr>
          <w:rFonts w:ascii="Verdana" w:hAnsi="Verdana"/>
          <w:noProof/>
          <w:color w:val="E36C0A"/>
          <w:sz w:val="16"/>
          <w:szCs w:val="16"/>
        </w:rPr>
        <w:t>2</w:t>
      </w:r>
      <w:r w:rsidR="002314E2" w:rsidRPr="00EB6D7F">
        <w:rPr>
          <w:rFonts w:ascii="Verdana" w:hAnsi="Verdana"/>
          <w:color w:val="E36C0A"/>
          <w:sz w:val="16"/>
          <w:szCs w:val="16"/>
        </w:rPr>
        <w:fldChar w:fldCharType="end"/>
      </w:r>
      <w:r w:rsidRPr="00EB6D7F">
        <w:rPr>
          <w:rFonts w:ascii="Verdana" w:hAnsi="Verdana"/>
          <w:color w:val="E36C0A"/>
          <w:sz w:val="16"/>
          <w:szCs w:val="16"/>
        </w:rPr>
        <w:t>.</w:t>
      </w:r>
      <w:r w:rsidRPr="00EB6D7F">
        <w:rPr>
          <w:rFonts w:ascii="Verdana" w:hAnsi="Verdana"/>
          <w:color w:val="595959"/>
          <w:sz w:val="16"/>
          <w:szCs w:val="16"/>
        </w:rPr>
        <w:t xml:space="preserve"> </w:t>
      </w:r>
      <w:r w:rsidR="00BE45D3">
        <w:rPr>
          <w:rFonts w:ascii="Verdana" w:hAnsi="Verdana"/>
          <w:color w:val="595959"/>
          <w:sz w:val="16"/>
          <w:szCs w:val="16"/>
        </w:rPr>
        <w:t>Средняя удельная</w:t>
      </w:r>
      <w:r w:rsidR="00BE45D3" w:rsidRPr="00842112">
        <w:rPr>
          <w:rFonts w:ascii="Verdana" w:hAnsi="Verdana"/>
          <w:color w:val="595959"/>
          <w:sz w:val="16"/>
          <w:szCs w:val="16"/>
        </w:rPr>
        <w:t xml:space="preserve"> </w:t>
      </w:r>
      <w:r w:rsidR="00BE45D3" w:rsidRPr="008C32FE">
        <w:rPr>
          <w:rFonts w:ascii="Verdana" w:hAnsi="Verdana"/>
          <w:color w:val="595959"/>
          <w:sz w:val="16"/>
          <w:szCs w:val="16"/>
        </w:rPr>
        <w:t>цен</w:t>
      </w:r>
      <w:r w:rsidR="00BE45D3">
        <w:rPr>
          <w:rFonts w:ascii="Verdana" w:hAnsi="Verdana"/>
          <w:color w:val="595959"/>
          <w:sz w:val="16"/>
          <w:szCs w:val="16"/>
        </w:rPr>
        <w:t>а</w:t>
      </w:r>
      <w:r w:rsidR="00BE45D3" w:rsidRPr="008C32FE">
        <w:rPr>
          <w:rFonts w:ascii="Verdana" w:hAnsi="Verdana"/>
          <w:color w:val="595959"/>
          <w:sz w:val="16"/>
          <w:szCs w:val="16"/>
        </w:rPr>
        <w:t xml:space="preserve"> предложения квартир </w:t>
      </w:r>
      <w:r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Воронежа </w:t>
      </w:r>
      <w:r w:rsidRPr="00EB6D7F">
        <w:rPr>
          <w:rFonts w:ascii="Verdana" w:hAnsi="Verdana"/>
          <w:color w:val="595959"/>
          <w:sz w:val="16"/>
          <w:szCs w:val="16"/>
        </w:rPr>
        <w:t xml:space="preserve">на конец </w:t>
      </w:r>
      <w:r w:rsidR="005A08B8">
        <w:rPr>
          <w:rFonts w:ascii="Verdana" w:hAnsi="Verdana" w:cs="Tahoma"/>
          <w:bCs w:val="0"/>
          <w:color w:val="595959"/>
          <w:sz w:val="16"/>
          <w:szCs w:val="16"/>
        </w:rPr>
        <w:t>марта</w:t>
      </w:r>
      <w:r w:rsidR="00EB6D7F" w:rsidRPr="00EB6D7F">
        <w:rPr>
          <w:rFonts w:ascii="Verdana" w:hAnsi="Verdana" w:cs="Tahoma"/>
          <w:bCs w:val="0"/>
          <w:color w:val="595959"/>
          <w:sz w:val="16"/>
          <w:szCs w:val="16"/>
        </w:rPr>
        <w:t xml:space="preserve"> 2014г</w:t>
      </w:r>
      <w:r w:rsidRPr="00EB6D7F">
        <w:rPr>
          <w:rFonts w:ascii="Verdana" w:hAnsi="Verdana"/>
          <w:color w:val="595959"/>
          <w:sz w:val="16"/>
          <w:szCs w:val="16"/>
        </w:rPr>
        <w:t>.</w:t>
      </w:r>
      <w:r w:rsidRPr="00EB6D7F">
        <w:rPr>
          <w:rFonts w:ascii="Verdana" w:hAnsi="Verdana" w:cs="Tahoma"/>
          <w:bCs w:val="0"/>
          <w:color w:val="595959"/>
          <w:sz w:val="16"/>
          <w:szCs w:val="16"/>
        </w:rPr>
        <w:t>, 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4735"/>
      </w:tblGrid>
      <w:tr w:rsidR="0085174A" w:rsidRPr="0026474A" w:rsidTr="003968FC">
        <w:tc>
          <w:tcPr>
            <w:tcW w:w="4987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7087" cy="1800000"/>
                  <wp:effectExtent l="19050" t="0" r="0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87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4681" cy="1800000"/>
                  <wp:effectExtent l="19050" t="0" r="6169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681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районам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количеству комнат</w:t>
            </w:r>
          </w:p>
        </w:tc>
      </w:tr>
      <w:tr w:rsidR="0085174A" w:rsidRPr="0026474A" w:rsidTr="00506547">
        <w:tc>
          <w:tcPr>
            <w:tcW w:w="4987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2716" cy="1800000"/>
                  <wp:effectExtent l="19050" t="0" r="0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716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5174A" w:rsidRPr="0026474A" w:rsidRDefault="00831BF5" w:rsidP="00F31452">
            <w:pPr>
              <w:spacing w:after="0" w:line="240" w:lineRule="auto"/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2681" cy="1800000"/>
                  <wp:effectExtent l="19050" t="0" r="1469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81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4A" w:rsidRPr="0026474A" w:rsidTr="003968FC">
        <w:tc>
          <w:tcPr>
            <w:tcW w:w="4987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 xml:space="preserve">по типажу </w:t>
            </w:r>
          </w:p>
        </w:tc>
        <w:tc>
          <w:tcPr>
            <w:tcW w:w="4725" w:type="dxa"/>
          </w:tcPr>
          <w:p w:rsidR="0085174A" w:rsidRPr="0026474A" w:rsidRDefault="0085174A" w:rsidP="00F31452">
            <w:pPr>
              <w:spacing w:after="0" w:line="240" w:lineRule="auto"/>
              <w:ind w:left="-142"/>
              <w:jc w:val="center"/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</w:pPr>
            <w:r w:rsidRPr="0026474A">
              <w:rPr>
                <w:rFonts w:ascii="Verdana" w:eastAsia="Times New Roman" w:hAnsi="Verdana"/>
                <w:b/>
                <w:noProof/>
                <w:color w:val="595959"/>
                <w:sz w:val="16"/>
                <w:szCs w:val="16"/>
                <w:lang w:eastAsia="ru-RU"/>
              </w:rPr>
              <w:t>по материалу стен</w:t>
            </w:r>
          </w:p>
        </w:tc>
      </w:tr>
    </w:tbl>
    <w:p w:rsidR="0085174A" w:rsidRDefault="0085174A" w:rsidP="0085174A">
      <w:pPr>
        <w:spacing w:before="60" w:after="60"/>
        <w:ind w:left="-142"/>
        <w:rPr>
          <w:rFonts w:ascii="Verdana" w:hAnsi="Verdana" w:cs="Tahoma"/>
          <w:i/>
          <w:color w:val="595959"/>
          <w:sz w:val="14"/>
          <w:szCs w:val="14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Pr="006E0CC1" w:rsidRDefault="0085174A" w:rsidP="00A57F6D">
      <w:pPr>
        <w:pStyle w:val="a4"/>
        <w:spacing w:before="60" w:beforeAutospacing="0" w:after="60" w:afterAutospacing="0"/>
        <w:ind w:left="-142"/>
        <w:jc w:val="both"/>
        <w:rPr>
          <w:b/>
          <w:i/>
          <w:color w:val="E36C0A"/>
          <w:sz w:val="22"/>
          <w:szCs w:val="22"/>
        </w:rPr>
      </w:pPr>
      <w:r w:rsidRPr="006E0CC1">
        <w:rPr>
          <w:b/>
          <w:i/>
          <w:color w:val="E36C0A"/>
          <w:sz w:val="22"/>
          <w:szCs w:val="22"/>
        </w:rPr>
        <w:t>Выводы и прогнозы</w:t>
      </w:r>
    </w:p>
    <w:p w:rsidR="009D6309" w:rsidRDefault="009D6309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 w:rsidRPr="00D75113">
        <w:rPr>
          <w:rFonts w:ascii="Verdana" w:hAnsi="Verdana"/>
          <w:b/>
          <w:color w:val="E36C0A"/>
          <w:sz w:val="16"/>
          <w:szCs w:val="16"/>
        </w:rPr>
        <w:t xml:space="preserve">Рисунок </w:t>
      </w:r>
      <w:r w:rsidR="002314E2" w:rsidRPr="00D75113">
        <w:rPr>
          <w:rFonts w:ascii="Verdana" w:hAnsi="Verdana"/>
          <w:b/>
          <w:color w:val="E36C0A"/>
          <w:sz w:val="16"/>
          <w:szCs w:val="16"/>
        </w:rPr>
        <w:fldChar w:fldCharType="begin"/>
      </w:r>
      <w:r w:rsidRPr="00D75113">
        <w:rPr>
          <w:rFonts w:ascii="Verdana" w:hAnsi="Verdana"/>
          <w:b/>
          <w:color w:val="E36C0A"/>
          <w:sz w:val="16"/>
          <w:szCs w:val="16"/>
        </w:rPr>
        <w:instrText xml:space="preserve"> SEQ Рисунок \* ARABIC </w:instrText>
      </w:r>
      <w:r w:rsidR="002314E2" w:rsidRPr="00D75113">
        <w:rPr>
          <w:rFonts w:ascii="Verdana" w:hAnsi="Verdana"/>
          <w:b/>
          <w:color w:val="E36C0A"/>
          <w:sz w:val="16"/>
          <w:szCs w:val="16"/>
        </w:rPr>
        <w:fldChar w:fldCharType="separate"/>
      </w:r>
      <w:r w:rsidRPr="00D75113">
        <w:rPr>
          <w:rFonts w:ascii="Verdana" w:hAnsi="Verdana"/>
          <w:b/>
          <w:noProof/>
          <w:color w:val="E36C0A"/>
          <w:sz w:val="16"/>
          <w:szCs w:val="16"/>
        </w:rPr>
        <w:t>3</w:t>
      </w:r>
      <w:r w:rsidR="002314E2" w:rsidRPr="00D75113">
        <w:rPr>
          <w:rFonts w:ascii="Verdana" w:hAnsi="Verdana"/>
          <w:b/>
          <w:color w:val="E36C0A"/>
          <w:sz w:val="16"/>
          <w:szCs w:val="16"/>
        </w:rPr>
        <w:fldChar w:fldCharType="end"/>
      </w:r>
      <w:r w:rsidRPr="00D75113">
        <w:rPr>
          <w:rFonts w:ascii="Verdana" w:hAnsi="Verdana"/>
          <w:b/>
          <w:color w:val="E36C0A"/>
          <w:sz w:val="16"/>
          <w:szCs w:val="16"/>
        </w:rPr>
        <w:t>.</w:t>
      </w:r>
      <w:r w:rsidRPr="00D75113">
        <w:rPr>
          <w:rFonts w:ascii="Verdana" w:hAnsi="Verdana"/>
          <w:b/>
          <w:color w:val="595959"/>
          <w:sz w:val="16"/>
          <w:szCs w:val="16"/>
        </w:rPr>
        <w:t xml:space="preserve"> </w:t>
      </w:r>
      <w:r w:rsidR="00025E3D" w:rsidRPr="00B578DA">
        <w:rPr>
          <w:rFonts w:ascii="Verdana" w:hAnsi="Verdana"/>
          <w:b/>
          <w:color w:val="595959"/>
          <w:sz w:val="16"/>
          <w:szCs w:val="16"/>
        </w:rPr>
        <w:t>Динамика цен предложения</w:t>
      </w:r>
      <w:r w:rsidR="00025E3D" w:rsidRPr="001B4479">
        <w:rPr>
          <w:rFonts w:ascii="Verdana" w:hAnsi="Verdana" w:cs="Tahoma"/>
          <w:b/>
          <w:bCs/>
          <w:color w:val="595959"/>
          <w:sz w:val="16"/>
          <w:szCs w:val="16"/>
        </w:rPr>
        <w:t xml:space="preserve"> квартир 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Воронежа за </w:t>
      </w:r>
      <w:r w:rsidR="005A08B8">
        <w:rPr>
          <w:rFonts w:ascii="Verdana" w:hAnsi="Verdana" w:cs="Tahoma"/>
          <w:b/>
          <w:bCs/>
          <w:color w:val="595959"/>
          <w:sz w:val="16"/>
          <w:szCs w:val="16"/>
        </w:rPr>
        <w:t>март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2012г. – </w:t>
      </w:r>
      <w:r w:rsidR="005A08B8">
        <w:rPr>
          <w:rFonts w:ascii="Verdana" w:hAnsi="Verdana" w:cs="Tahoma"/>
          <w:b/>
          <w:bCs/>
          <w:color w:val="595959"/>
          <w:sz w:val="16"/>
          <w:szCs w:val="16"/>
        </w:rPr>
        <w:t>март</w:t>
      </w:r>
      <w:r w:rsidRPr="00D75113">
        <w:rPr>
          <w:rFonts w:ascii="Verdana" w:hAnsi="Verdana" w:cs="Tahoma"/>
          <w:b/>
          <w:bCs/>
          <w:color w:val="595959"/>
          <w:sz w:val="16"/>
          <w:szCs w:val="16"/>
        </w:rPr>
        <w:t xml:space="preserve"> 2014г.</w:t>
      </w:r>
      <w:r w:rsidRPr="0076094E">
        <w:rPr>
          <w:rFonts w:ascii="Verdana" w:hAnsi="Verdana" w:cs="Tahoma"/>
          <w:b/>
          <w:bCs/>
          <w:color w:val="595959"/>
          <w:sz w:val="16"/>
          <w:szCs w:val="16"/>
        </w:rPr>
        <w:t xml:space="preserve"> </w:t>
      </w:r>
    </w:p>
    <w:p w:rsidR="009D6309" w:rsidRDefault="00831BF5" w:rsidP="009D6309">
      <w:pPr>
        <w:spacing w:after="0"/>
        <w:jc w:val="center"/>
        <w:rPr>
          <w:rFonts w:ascii="Verdana" w:hAnsi="Verdana" w:cs="Tahoma"/>
          <w:b/>
          <w:bCs/>
          <w:color w:val="595959"/>
          <w:sz w:val="16"/>
          <w:szCs w:val="16"/>
        </w:rPr>
      </w:pPr>
      <w:r>
        <w:rPr>
          <w:rFonts w:ascii="Verdana" w:hAnsi="Verdana" w:cs="Tahoma"/>
          <w:b/>
          <w:bCs/>
          <w:noProof/>
          <w:color w:val="595959"/>
          <w:sz w:val="16"/>
          <w:szCs w:val="16"/>
          <w:lang w:eastAsia="ru-RU"/>
        </w:rPr>
        <w:drawing>
          <wp:inline distT="0" distB="0" distL="0" distR="0">
            <wp:extent cx="5562766" cy="3068154"/>
            <wp:effectExtent l="19050" t="0" r="0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21" cy="308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309" w:rsidRDefault="009D6309" w:rsidP="009D6309">
      <w:pPr>
        <w:spacing w:after="60"/>
        <w:rPr>
          <w:rFonts w:ascii="Verdana" w:eastAsia="Times New Roman" w:hAnsi="Verdana" w:cs="Tahoma"/>
          <w:i/>
          <w:color w:val="595959"/>
          <w:sz w:val="14"/>
          <w:szCs w:val="14"/>
        </w:rPr>
      </w:pPr>
      <w:r w:rsidRPr="005269FC">
        <w:rPr>
          <w:rFonts w:ascii="Verdana" w:eastAsia="Times New Roman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eastAsia="Times New Roman" w:hAnsi="Verdana" w:cs="Tahoma"/>
          <w:i/>
          <w:color w:val="595959"/>
          <w:sz w:val="14"/>
          <w:szCs w:val="14"/>
        </w:rPr>
        <w:t>: ИнвестОценка</w:t>
      </w:r>
    </w:p>
    <w:p w:rsidR="007D2E36" w:rsidRDefault="0085174A" w:rsidP="007D2E36">
      <w:pPr>
        <w:pStyle w:val="a4"/>
        <w:shd w:val="clear" w:color="auto" w:fill="FFFFFF"/>
        <w:spacing w:before="0" w:beforeAutospacing="0" w:after="60" w:afterAutospacing="0" w:line="213" w:lineRule="atLeast"/>
        <w:ind w:left="-142"/>
        <w:jc w:val="both"/>
        <w:rPr>
          <w:sz w:val="16"/>
          <w:szCs w:val="16"/>
        </w:rPr>
      </w:pPr>
      <w:r w:rsidRPr="00065EE8">
        <w:rPr>
          <w:color w:val="595959"/>
          <w:sz w:val="16"/>
          <w:szCs w:val="16"/>
        </w:rPr>
        <w:t xml:space="preserve">За </w:t>
      </w:r>
      <w:r w:rsidR="005A08B8">
        <w:rPr>
          <w:rFonts w:cs="Tahoma"/>
          <w:color w:val="595959"/>
          <w:sz w:val="16"/>
          <w:szCs w:val="16"/>
        </w:rPr>
        <w:t>март</w:t>
      </w:r>
      <w:r w:rsidRPr="00065EE8">
        <w:rPr>
          <w:rFonts w:cs="Tahoma"/>
          <w:color w:val="595959"/>
          <w:sz w:val="16"/>
          <w:szCs w:val="16"/>
        </w:rPr>
        <w:t xml:space="preserve"> </w:t>
      </w:r>
      <w:r w:rsidR="00494201" w:rsidRPr="008368AE">
        <w:rPr>
          <w:color w:val="595959"/>
          <w:sz w:val="16"/>
          <w:szCs w:val="16"/>
        </w:rPr>
        <w:t>средневзвешенная</w:t>
      </w:r>
      <w:r w:rsidR="00494201">
        <w:rPr>
          <w:color w:val="595959"/>
          <w:sz w:val="16"/>
          <w:szCs w:val="16"/>
        </w:rPr>
        <w:t xml:space="preserve"> удельная</w:t>
      </w:r>
      <w:r w:rsidR="00494201" w:rsidRPr="008368AE">
        <w:rPr>
          <w:color w:val="595959"/>
          <w:sz w:val="16"/>
          <w:szCs w:val="16"/>
        </w:rPr>
        <w:t xml:space="preserve"> цена предложения </w:t>
      </w:r>
      <w:r w:rsidRPr="00065EE8">
        <w:rPr>
          <w:color w:val="595959"/>
          <w:sz w:val="16"/>
          <w:szCs w:val="16"/>
        </w:rPr>
        <w:t xml:space="preserve">квартир </w:t>
      </w:r>
      <w:r w:rsidR="00065EE8" w:rsidRPr="00065EE8">
        <w:rPr>
          <w:color w:val="595959"/>
          <w:sz w:val="16"/>
          <w:szCs w:val="16"/>
        </w:rPr>
        <w:t>выросла</w:t>
      </w:r>
      <w:r w:rsidRPr="00065EE8">
        <w:rPr>
          <w:color w:val="595959"/>
          <w:sz w:val="16"/>
          <w:szCs w:val="16"/>
        </w:rPr>
        <w:t xml:space="preserve"> на </w:t>
      </w:r>
      <w:r w:rsidR="00831BF5">
        <w:rPr>
          <w:color w:val="595959"/>
          <w:sz w:val="16"/>
          <w:szCs w:val="16"/>
        </w:rPr>
        <w:t>1</w:t>
      </w:r>
      <w:r w:rsidR="00A22202" w:rsidRPr="00065EE8">
        <w:rPr>
          <w:color w:val="595959"/>
          <w:sz w:val="16"/>
          <w:szCs w:val="16"/>
        </w:rPr>
        <w:t>,</w:t>
      </w:r>
      <w:r w:rsidR="00831BF5">
        <w:rPr>
          <w:color w:val="595959"/>
          <w:sz w:val="16"/>
          <w:szCs w:val="16"/>
        </w:rPr>
        <w:t>45</w:t>
      </w:r>
      <w:r w:rsidR="00DD4F6D" w:rsidRPr="00065EE8">
        <w:rPr>
          <w:color w:val="595959"/>
          <w:sz w:val="16"/>
          <w:szCs w:val="16"/>
        </w:rPr>
        <w:t>%</w:t>
      </w:r>
      <w:r w:rsidRPr="00065EE8">
        <w:rPr>
          <w:color w:val="595959"/>
          <w:sz w:val="16"/>
          <w:szCs w:val="16"/>
        </w:rPr>
        <w:t xml:space="preserve">, составив </w:t>
      </w:r>
      <w:r w:rsidR="00A22202" w:rsidRPr="00065EE8">
        <w:rPr>
          <w:color w:val="595959"/>
          <w:sz w:val="16"/>
          <w:szCs w:val="16"/>
        </w:rPr>
        <w:t>4</w:t>
      </w:r>
      <w:r w:rsidR="00831BF5">
        <w:rPr>
          <w:color w:val="595959"/>
          <w:sz w:val="16"/>
          <w:szCs w:val="16"/>
        </w:rPr>
        <w:t>8</w:t>
      </w:r>
      <w:r w:rsidR="00557E7E" w:rsidRPr="00065EE8">
        <w:rPr>
          <w:color w:val="595959"/>
          <w:sz w:val="16"/>
          <w:szCs w:val="16"/>
        </w:rPr>
        <w:t xml:space="preserve"> </w:t>
      </w:r>
      <w:r w:rsidR="00831BF5">
        <w:rPr>
          <w:color w:val="595959"/>
          <w:sz w:val="16"/>
          <w:szCs w:val="16"/>
        </w:rPr>
        <w:t>505</w:t>
      </w:r>
      <w:r w:rsidRPr="00065EE8">
        <w:rPr>
          <w:color w:val="595959"/>
          <w:sz w:val="16"/>
          <w:szCs w:val="16"/>
        </w:rPr>
        <w:t xml:space="preserve"> руб./кв. м.</w:t>
      </w:r>
      <w:r w:rsidR="00572299" w:rsidRPr="00F826FD">
        <w:rPr>
          <w:color w:val="595959"/>
          <w:sz w:val="16"/>
          <w:szCs w:val="16"/>
        </w:rPr>
        <w:t xml:space="preserve"> </w:t>
      </w:r>
      <w:r w:rsidR="00480234">
        <w:rPr>
          <w:color w:val="595959"/>
          <w:sz w:val="16"/>
          <w:szCs w:val="16"/>
        </w:rPr>
        <w:t xml:space="preserve">За I квартал 2014 года рост цен на жилье в Воронеже составил </w:t>
      </w:r>
      <w:r w:rsidR="00864778">
        <w:rPr>
          <w:color w:val="595959"/>
          <w:sz w:val="16"/>
          <w:szCs w:val="16"/>
        </w:rPr>
        <w:t>на 3,64%</w:t>
      </w:r>
      <w:r w:rsidR="00480234">
        <w:rPr>
          <w:color w:val="595959"/>
          <w:sz w:val="16"/>
          <w:szCs w:val="16"/>
        </w:rPr>
        <w:t xml:space="preserve"> (1,99% за аналогичный период прошлого года)</w:t>
      </w:r>
      <w:r w:rsidR="00864778">
        <w:rPr>
          <w:color w:val="595959"/>
          <w:sz w:val="16"/>
          <w:szCs w:val="16"/>
        </w:rPr>
        <w:t>.</w:t>
      </w:r>
    </w:p>
    <w:p w:rsidR="00572299" w:rsidRPr="00572299" w:rsidRDefault="00572299" w:rsidP="00434492">
      <w:pPr>
        <w:pStyle w:val="a4"/>
        <w:shd w:val="clear" w:color="auto" w:fill="FFFFFF"/>
        <w:spacing w:before="0" w:beforeAutospacing="0" w:after="60" w:afterAutospacing="0" w:line="213" w:lineRule="atLeast"/>
        <w:jc w:val="both"/>
        <w:rPr>
          <w:rFonts w:cs="Tahoma"/>
          <w:i/>
          <w:color w:val="595959"/>
        </w:rPr>
        <w:sectPr w:rsidR="00572299" w:rsidRPr="00572299" w:rsidSect="00E16075">
          <w:footerReference w:type="default" r:id="rId22"/>
          <w:type w:val="continuous"/>
          <w:pgSz w:w="11906" w:h="16838" w:code="9"/>
          <w:pgMar w:top="1134" w:right="709" w:bottom="1134" w:left="1701" w:header="709" w:footer="526" w:gutter="0"/>
          <w:cols w:space="708"/>
          <w:titlePg/>
          <w:docGrid w:linePitch="360"/>
        </w:sectPr>
      </w:pPr>
    </w:p>
    <w:p w:rsidR="0085174A" w:rsidRDefault="0085174A" w:rsidP="0085174A">
      <w:pPr>
        <w:pStyle w:val="ab"/>
        <w:spacing w:before="120" w:after="60" w:line="276" w:lineRule="auto"/>
        <w:ind w:right="-143"/>
        <w:rPr>
          <w:rFonts w:ascii="Verdana" w:hAnsi="Verdana"/>
          <w:color w:val="595959"/>
          <w:sz w:val="16"/>
          <w:szCs w:val="16"/>
        </w:rPr>
      </w:pPr>
      <w:r w:rsidRPr="006F105C">
        <w:rPr>
          <w:rFonts w:ascii="Verdana" w:hAnsi="Verdana"/>
          <w:color w:val="E36C0A"/>
          <w:sz w:val="16"/>
          <w:szCs w:val="16"/>
        </w:rPr>
        <w:lastRenderedPageBreak/>
        <w:t xml:space="preserve">Таблица </w:t>
      </w:r>
      <w:r w:rsidR="002314E2" w:rsidRPr="006F105C">
        <w:rPr>
          <w:rFonts w:ascii="Verdana" w:hAnsi="Verdana"/>
          <w:b w:val="0"/>
          <w:color w:val="E36C0A"/>
          <w:sz w:val="16"/>
          <w:szCs w:val="16"/>
        </w:rPr>
        <w:fldChar w:fldCharType="begin"/>
      </w:r>
      <w:r w:rsidRPr="006F105C">
        <w:rPr>
          <w:rFonts w:ascii="Verdana" w:hAnsi="Verdana"/>
          <w:color w:val="E36C0A"/>
          <w:sz w:val="16"/>
          <w:szCs w:val="16"/>
        </w:rPr>
        <w:instrText xml:space="preserve"> SEQ Таблица \* ARABIC </w:instrText>
      </w:r>
      <w:r w:rsidR="002314E2" w:rsidRPr="006F105C">
        <w:rPr>
          <w:rFonts w:ascii="Verdana" w:hAnsi="Verdana"/>
          <w:b w:val="0"/>
          <w:color w:val="E36C0A"/>
          <w:sz w:val="16"/>
          <w:szCs w:val="16"/>
        </w:rPr>
        <w:fldChar w:fldCharType="separate"/>
      </w:r>
      <w:r w:rsidR="00F93F9E" w:rsidRPr="006F105C">
        <w:rPr>
          <w:rFonts w:ascii="Verdana" w:hAnsi="Verdana"/>
          <w:noProof/>
          <w:color w:val="E36C0A"/>
          <w:sz w:val="16"/>
          <w:szCs w:val="16"/>
        </w:rPr>
        <w:t>2</w:t>
      </w:r>
      <w:r w:rsidR="002314E2" w:rsidRPr="006F105C">
        <w:rPr>
          <w:rFonts w:ascii="Verdana" w:hAnsi="Verdana"/>
          <w:b w:val="0"/>
          <w:color w:val="E36C0A"/>
          <w:sz w:val="16"/>
          <w:szCs w:val="16"/>
        </w:rPr>
        <w:fldChar w:fldCharType="end"/>
      </w:r>
      <w:r w:rsidRPr="006F105C">
        <w:rPr>
          <w:rFonts w:ascii="Verdana" w:hAnsi="Verdana"/>
          <w:color w:val="E36C0A"/>
          <w:sz w:val="16"/>
          <w:szCs w:val="16"/>
        </w:rPr>
        <w:t>.</w:t>
      </w:r>
      <w:r w:rsidRPr="006F105C">
        <w:rPr>
          <w:rFonts w:ascii="Verdana" w:hAnsi="Verdana"/>
          <w:sz w:val="16"/>
          <w:szCs w:val="16"/>
        </w:rPr>
        <w:t xml:space="preserve"> </w:t>
      </w:r>
      <w:r w:rsidRPr="006F105C">
        <w:rPr>
          <w:rFonts w:ascii="Verdana" w:hAnsi="Verdana"/>
          <w:color w:val="595959"/>
          <w:sz w:val="16"/>
          <w:szCs w:val="16"/>
        </w:rPr>
        <w:t xml:space="preserve">Дискретная пространственно-параметрическая модель рынка предложения жилой недвижимости (квартир) Воронежа на конец </w:t>
      </w:r>
      <w:r w:rsidR="005A08B8">
        <w:rPr>
          <w:rFonts w:ascii="Verdana" w:hAnsi="Verdana"/>
          <w:color w:val="595959"/>
          <w:sz w:val="16"/>
          <w:szCs w:val="16"/>
        </w:rPr>
        <w:t>марта</w:t>
      </w:r>
      <w:r w:rsidRPr="006F105C">
        <w:rPr>
          <w:rFonts w:ascii="Verdana" w:hAnsi="Verdana"/>
          <w:color w:val="595959"/>
          <w:sz w:val="16"/>
          <w:szCs w:val="16"/>
        </w:rPr>
        <w:t xml:space="preserve"> 201</w:t>
      </w:r>
      <w:r w:rsidR="002404A2" w:rsidRPr="006F105C">
        <w:rPr>
          <w:rFonts w:ascii="Verdana" w:hAnsi="Verdana"/>
          <w:color w:val="595959"/>
          <w:sz w:val="16"/>
          <w:szCs w:val="16"/>
        </w:rPr>
        <w:t>4</w:t>
      </w:r>
      <w:r w:rsidRPr="006F105C">
        <w:rPr>
          <w:rFonts w:ascii="Verdana" w:hAnsi="Verdana"/>
          <w:color w:val="595959"/>
          <w:sz w:val="16"/>
          <w:szCs w:val="16"/>
        </w:rPr>
        <w:t xml:space="preserve"> года</w:t>
      </w:r>
    </w:p>
    <w:tbl>
      <w:tblPr>
        <w:tblW w:w="15147" w:type="dxa"/>
        <w:tblInd w:w="10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0"/>
        <w:gridCol w:w="1843"/>
        <w:gridCol w:w="1559"/>
        <w:gridCol w:w="1701"/>
        <w:gridCol w:w="1559"/>
        <w:gridCol w:w="1133"/>
        <w:gridCol w:w="1134"/>
        <w:gridCol w:w="1134"/>
        <w:gridCol w:w="1134"/>
        <w:gridCol w:w="1200"/>
        <w:gridCol w:w="760"/>
      </w:tblGrid>
      <w:tr w:rsidR="00815EB5" w:rsidRPr="00815EB5" w:rsidTr="00815EB5">
        <w:trPr>
          <w:trHeight w:val="280"/>
        </w:trPr>
        <w:tc>
          <w:tcPr>
            <w:tcW w:w="1990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Классификационный признак</w:t>
            </w:r>
          </w:p>
        </w:tc>
        <w:tc>
          <w:tcPr>
            <w:tcW w:w="184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Количество экспонируемых объектов, шт.</w:t>
            </w:r>
          </w:p>
        </w:tc>
        <w:tc>
          <w:tcPr>
            <w:tcW w:w="1701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6B4415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Средняя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удельная 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 xml:space="preserve">цена </w:t>
            </w:r>
            <w:r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предложения</w:t>
            </w: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Среднеквадра</w:t>
            </w:r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тическое отклонение, руб./кв</w:t>
            </w:r>
            <w:proofErr w:type="gramStart"/>
            <w:r w:rsidR="004707C7"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3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Минимум,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Медиана,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Мода,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Максимум, 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960" w:type="dxa"/>
            <w:gridSpan w:val="2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/>
                <w:sz w:val="14"/>
                <w:szCs w:val="14"/>
                <w:lang w:eastAsia="ru-RU"/>
              </w:rPr>
              <w:t>Погрешность</w:t>
            </w:r>
          </w:p>
        </w:tc>
      </w:tr>
      <w:tr w:rsidR="00815EB5" w:rsidRPr="00815EB5" w:rsidTr="00815EB5">
        <w:trPr>
          <w:trHeight w:val="280"/>
        </w:trPr>
        <w:tc>
          <w:tcPr>
            <w:tcW w:w="1990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4707C7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руб./кв</w:t>
            </w:r>
            <w:proofErr w:type="gramStart"/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760" w:type="dxa"/>
            <w:shd w:val="clear" w:color="auto" w:fill="E36C0A" w:themeFill="accent6" w:themeFillShade="BF"/>
            <w:vAlign w:val="center"/>
            <w:hideMark/>
          </w:tcPr>
          <w:p w:rsidR="008C32FE" w:rsidRPr="00815EB5" w:rsidRDefault="008C32FE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4"/>
                <w:szCs w:val="14"/>
                <w:lang w:eastAsia="ru-RU"/>
              </w:rPr>
              <w:t>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b/>
                <w:bCs/>
                <w:iCs/>
                <w:color w:val="595959" w:themeColor="text1" w:themeTint="A6"/>
                <w:sz w:val="14"/>
                <w:szCs w:val="14"/>
                <w:lang w:eastAsia="ru-RU"/>
              </w:rPr>
              <w:t>В среднем по городу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b/>
                <w:bCs/>
                <w:color w:val="595959" w:themeColor="text1" w:themeTint="A6"/>
                <w:sz w:val="14"/>
                <w:szCs w:val="14"/>
              </w:rPr>
              <w:t>В среднем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4 106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48 504,5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6 277,5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47 490,3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196,0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b/>
                <w:bCs/>
                <w:color w:val="595959" w:themeColor="text1" w:themeTint="A6"/>
                <w:sz w:val="14"/>
                <w:szCs w:val="14"/>
              </w:rPr>
              <w:t>0,4%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Количество комнат</w:t>
            </w: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1 комната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1 575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50 842,5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5 638,7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284,3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2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1 418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47 824,3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6 144,4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46 339,1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120 289,9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326,5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0,7%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3 комнаты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973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46 315,4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6 341,1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44 852,9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118 750,0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406,8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/>
                <w:color w:val="595959" w:themeColor="text1" w:themeTint="A6"/>
                <w:sz w:val="14"/>
                <w:szCs w:val="14"/>
              </w:rPr>
              <w:t>4 и более комнат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44 306,4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5 894,8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30 475,2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42 042,3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47 541,0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73 355,8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1 000,0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2,3%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Районы расположения</w:t>
            </w: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Железнодорожный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45 755,8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5 205,4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45 312,5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66 406,3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444,3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1,0%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Коминтерновский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1 687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47 163,2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5 179,9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29 300,1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46 750,0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73 333,3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252,3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Левобережный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46 746,1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6 313,0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45 312,5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78 392,9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611,7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1,3%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Ленинский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54 854,9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7 912,7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53 465,8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113 488,4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818,3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1,5%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Советский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47 458,8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4 980,2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28 260,9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47 345,1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68 050,7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398,4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0,8%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Центральный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54 850,8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8 448,4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32 142,9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53 409,1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805,5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1,5%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Материал стен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1 974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49 920,9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6 821,5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48 591,3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307,1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Монолит и монолит-кирпич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957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47 222,3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6 699,7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29 300,1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46 254,7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83 495,1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433,4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0,9%</w:t>
            </w:r>
          </w:p>
        </w:tc>
      </w:tr>
      <w:tr w:rsidR="002F5173" w:rsidRPr="00815EB5" w:rsidTr="00A16E0F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Панель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1 175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47 169,5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4 814,2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29 978,6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46 666,7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73 943,7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281,0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2F5173" w:rsidRPr="00815EB5" w:rsidTr="00976F5A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Новизна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Вторичка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2 501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49 871,9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6 405,8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48 863,6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256,2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2F5173" w:rsidRPr="00815EB5" w:rsidTr="00976F5A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Новостройки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1 605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46 373,8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5 649,0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29 300,1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45 454,5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113 488,4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282,1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0,6%</w:t>
            </w:r>
          </w:p>
        </w:tc>
      </w:tr>
      <w:tr w:rsidR="002F5173" w:rsidRPr="00815EB5" w:rsidTr="00951FE5">
        <w:trPr>
          <w:trHeight w:val="280"/>
        </w:trPr>
        <w:tc>
          <w:tcPr>
            <w:tcW w:w="1990" w:type="dxa"/>
            <w:vMerge w:val="restart"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  <w:r w:rsidRPr="00815EB5"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  <w:t>Типажи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Брежневка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47 739,5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5 348,2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28 787,9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47 292,4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76 087,0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528,3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1,1%</w:t>
            </w:r>
          </w:p>
        </w:tc>
      </w:tr>
      <w:tr w:rsidR="002F5173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Современная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2 565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48 836,7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6 735,7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29 300,1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47 505,9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154 545,5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266,0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0,5%</w:t>
            </w:r>
          </w:p>
        </w:tc>
      </w:tr>
      <w:tr w:rsidR="002F5173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Сталинка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49 622,1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8 364,4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27 272,7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47 945,2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44 444,4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118 750,0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1 490,3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3,0%</w:t>
            </w:r>
          </w:p>
        </w:tc>
      </w:tr>
      <w:tr w:rsidR="002F5173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Хрущевка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47 014,3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5 561,8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29 245,3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46 444,4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78 620,7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633,8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1,3%</w:t>
            </w:r>
          </w:p>
        </w:tc>
      </w:tr>
      <w:tr w:rsidR="002F5173" w:rsidRPr="00815EB5" w:rsidTr="00951FE5">
        <w:trPr>
          <w:trHeight w:val="280"/>
        </w:trPr>
        <w:tc>
          <w:tcPr>
            <w:tcW w:w="1990" w:type="dxa"/>
            <w:vMerge/>
            <w:shd w:val="clear" w:color="auto" w:fill="FFFFFF"/>
            <w:vAlign w:val="center"/>
            <w:hideMark/>
          </w:tcPr>
          <w:p w:rsidR="002F5173" w:rsidRPr="00815EB5" w:rsidRDefault="002F5173" w:rsidP="00815EB5">
            <w:pPr>
              <w:spacing w:before="20" w:after="20" w:line="240" w:lineRule="auto"/>
              <w:jc w:val="center"/>
              <w:rPr>
                <w:rFonts w:ascii="Verdana" w:eastAsia="Times New Roman" w:hAnsi="Verdana" w:cs="Calibri"/>
                <w:iCs/>
                <w:color w:val="595959" w:themeColor="text1" w:themeTint="A6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F5173" w:rsidRPr="00C629FB" w:rsidRDefault="002F5173" w:rsidP="00C629FB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C629FB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Чешка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694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48 189,0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5 049,6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28 260,9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47 631,0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50 000,0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75 531,9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383,6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F5173" w:rsidRPr="002F5173" w:rsidRDefault="002F5173" w:rsidP="002F5173">
            <w:pPr>
              <w:spacing w:before="20" w:after="20"/>
              <w:jc w:val="center"/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</w:pPr>
            <w:r w:rsidRPr="002F5173">
              <w:rPr>
                <w:rFonts w:ascii="Verdana" w:hAnsi="Verdana" w:cs="Calibri"/>
                <w:color w:val="595959" w:themeColor="text1" w:themeTint="A6"/>
                <w:sz w:val="14"/>
                <w:szCs w:val="14"/>
              </w:rPr>
              <w:t>0,8%</w:t>
            </w:r>
          </w:p>
        </w:tc>
      </w:tr>
    </w:tbl>
    <w:p w:rsidR="0085174A" w:rsidRDefault="0085174A" w:rsidP="006A0F4D">
      <w:pPr>
        <w:spacing w:before="120" w:after="60"/>
        <w:ind w:right="-143"/>
        <w:rPr>
          <w:rFonts w:ascii="Verdana" w:hAnsi="Verdana" w:cs="FuturaFuturisLightC"/>
          <w:b/>
          <w:color w:val="595959"/>
          <w:sz w:val="14"/>
          <w:szCs w:val="14"/>
          <w:u w:val="single"/>
        </w:rPr>
      </w:pPr>
      <w:r w:rsidRPr="005269FC">
        <w:rPr>
          <w:rFonts w:ascii="Verdana" w:hAnsi="Verdana" w:cs="Tahoma"/>
          <w:b/>
          <w:i/>
          <w:color w:val="595959"/>
          <w:sz w:val="14"/>
          <w:szCs w:val="14"/>
        </w:rPr>
        <w:t>Источник</w:t>
      </w:r>
      <w:r w:rsidRPr="005269FC">
        <w:rPr>
          <w:rFonts w:ascii="Verdana" w:hAnsi="Verdana" w:cs="Tahoma"/>
          <w:i/>
          <w:color w:val="595959"/>
          <w:sz w:val="14"/>
          <w:szCs w:val="14"/>
        </w:rPr>
        <w:t>: ИнвестОценка</w:t>
      </w:r>
    </w:p>
    <w:p w:rsidR="0085174A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color w:val="595959"/>
          <w:sz w:val="14"/>
          <w:szCs w:val="14"/>
          <w:u w:val="single"/>
        </w:rPr>
        <w:sectPr w:rsidR="0085174A" w:rsidSect="00F31452">
          <w:headerReference w:type="default" r:id="rId23"/>
          <w:pgSz w:w="16838" w:h="11906" w:orient="landscape" w:code="9"/>
          <w:pgMar w:top="1701" w:right="539" w:bottom="709" w:left="1134" w:header="709" w:footer="709" w:gutter="0"/>
          <w:cols w:space="708"/>
          <w:titlePg/>
          <w:docGrid w:linePitch="360"/>
        </w:sectPr>
      </w:pPr>
    </w:p>
    <w:p w:rsidR="0085174A" w:rsidRPr="00FD0F4F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FuturaFuturisLightC"/>
          <w:b/>
          <w:i/>
          <w:color w:val="E36C0A"/>
        </w:rPr>
      </w:pPr>
      <w:r w:rsidRPr="00FD0F4F">
        <w:rPr>
          <w:rFonts w:ascii="Verdana" w:hAnsi="Verdana" w:cs="FuturaFuturisLightC"/>
          <w:b/>
          <w:i/>
          <w:color w:val="E36C0A"/>
        </w:rPr>
        <w:lastRenderedPageBreak/>
        <w:t>Заявление об ограничении ответственности</w:t>
      </w:r>
    </w:p>
    <w:p w:rsidR="0085174A" w:rsidRPr="006A77ED" w:rsidRDefault="0085174A" w:rsidP="0085174A">
      <w:pPr>
        <w:tabs>
          <w:tab w:val="left" w:pos="142"/>
        </w:tabs>
        <w:spacing w:after="60"/>
        <w:ind w:left="-142" w:right="-143"/>
        <w:jc w:val="both"/>
        <w:rPr>
          <w:rFonts w:ascii="Verdana" w:hAnsi="Verdana" w:cs="Tahoma"/>
          <w:color w:val="595959"/>
          <w:sz w:val="14"/>
          <w:szCs w:val="14"/>
        </w:rPr>
      </w:pP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Информация, содержащаяся в настоящем Обзоре, основана на достоверных, по мнению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i/>
          <w:color w:val="595959"/>
          <w:sz w:val="14"/>
          <w:szCs w:val="14"/>
        </w:rPr>
        <w:t>,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данных. Несмотря на все предпринятые меры обеспечить достоверность содержащейся в Обзоре информации,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гарантировать того, что в нем отсутствуют фактические неточности. 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Информация, содержащаяся в Обзоре, не может служить основанием для привлечения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Tahoma"/>
          <w:color w:val="595959"/>
          <w:sz w:val="14"/>
          <w:szCs w:val="14"/>
        </w:rPr>
        <w:t xml:space="preserve"> к юридической ответственности.</w:t>
      </w:r>
    </w:p>
    <w:p w:rsidR="0085174A" w:rsidRPr="006A77ED" w:rsidRDefault="0085174A" w:rsidP="0085174A">
      <w:pPr>
        <w:spacing w:after="60"/>
        <w:ind w:left="-142" w:right="-143"/>
        <w:jc w:val="both"/>
        <w:rPr>
          <w:rFonts w:ascii="Verdana" w:hAnsi="Verdana" w:cs="Arial"/>
          <w:color w:val="595959"/>
          <w:sz w:val="14"/>
          <w:szCs w:val="14"/>
        </w:rPr>
      </w:pPr>
      <w:r w:rsidRPr="006A77ED">
        <w:rPr>
          <w:rFonts w:ascii="Verdana" w:hAnsi="Verdana" w:cs="ArialMT"/>
          <w:b/>
          <w:color w:val="595959"/>
          <w:sz w:val="14"/>
          <w:szCs w:val="14"/>
        </w:rPr>
        <w:t>Все права защищены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Настоящий Обзор подготовлен </w:t>
      </w:r>
      <w:r w:rsidRPr="006A77ED">
        <w:rPr>
          <w:rFonts w:ascii="Verdana" w:hAnsi="Verdana" w:cs="Arial-ItalicMT"/>
          <w:iCs/>
          <w:color w:val="595959"/>
          <w:sz w:val="14"/>
          <w:szCs w:val="14"/>
        </w:rPr>
        <w:t xml:space="preserve">на основании результатов собственных исследований </w:t>
      </w:r>
      <w:r w:rsidRPr="006A77ED">
        <w:rPr>
          <w:rFonts w:ascii="Verdana" w:hAnsi="Verdana" w:cs="Arial-ItalicMT"/>
          <w:b/>
          <w:i/>
          <w:iCs/>
          <w:color w:val="595959"/>
          <w:sz w:val="14"/>
          <w:szCs w:val="14"/>
        </w:rPr>
        <w:t xml:space="preserve">компании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Arial-ItalicMT"/>
          <w:i/>
          <w:iCs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для ее клиентов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исключительно в информационных целях</w:t>
      </w:r>
      <w:r w:rsidRPr="006A77ED">
        <w:rPr>
          <w:rFonts w:ascii="Verdana" w:hAnsi="Verdana" w:cs="Arial"/>
          <w:color w:val="595959"/>
          <w:sz w:val="14"/>
          <w:szCs w:val="14"/>
        </w:rPr>
        <w:t>. С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одержание Обзора является собственностью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компании ИнвестОценка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. 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Ни одна из частей настоящего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Обзора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не может быть воспроизведена или передана ни в </w:t>
      </w:r>
      <w:proofErr w:type="gramStart"/>
      <w:r w:rsidRPr="006A77ED">
        <w:rPr>
          <w:rFonts w:ascii="Verdana" w:hAnsi="Verdana" w:cs="FuturaFuturisLightC"/>
          <w:color w:val="595959"/>
          <w:sz w:val="14"/>
          <w:szCs w:val="14"/>
        </w:rPr>
        <w:t>какой</w:t>
      </w:r>
      <w:proofErr w:type="gramEnd"/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форме и никакими средствами без ссылки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>.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При </w:t>
      </w:r>
      <w:r>
        <w:rPr>
          <w:rFonts w:ascii="Verdana" w:hAnsi="Verdana" w:cs="ArialMT"/>
          <w:color w:val="595959"/>
          <w:sz w:val="14"/>
          <w:szCs w:val="14"/>
        </w:rPr>
        <w:t xml:space="preserve">перепечатке и 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цитировании материалов Обзора ссылка на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компанию ИнвестОценка</w:t>
      </w:r>
      <w:r w:rsidRPr="006A77ED">
        <w:rPr>
          <w:rFonts w:ascii="Verdana" w:hAnsi="Verdana" w:cs="ArialMT"/>
          <w:color w:val="595959"/>
          <w:sz w:val="14"/>
          <w:szCs w:val="14"/>
        </w:rPr>
        <w:t xml:space="preserve"> обязательна.</w:t>
      </w:r>
      <w:r w:rsidRPr="006A77ED">
        <w:rPr>
          <w:rFonts w:ascii="Verdana" w:hAnsi="Verdana" w:cs="Arial"/>
          <w:color w:val="595959"/>
          <w:sz w:val="14"/>
          <w:szCs w:val="14"/>
        </w:rPr>
        <w:t xml:space="preserve">    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 w:cs="FuturaFuturisLightC"/>
          <w:b/>
          <w:i/>
          <w:color w:val="595959"/>
          <w:sz w:val="14"/>
          <w:szCs w:val="14"/>
        </w:rPr>
        <w:t>К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омпания</w:t>
      </w:r>
      <w:r w:rsidRPr="006A77ED">
        <w:rPr>
          <w:rFonts w:ascii="Verdana" w:hAnsi="Verdana" w:cs="FuturaFuturisLightC"/>
          <w:b/>
          <w:color w:val="595959"/>
          <w:sz w:val="14"/>
          <w:szCs w:val="14"/>
        </w:rPr>
        <w:t xml:space="preserve"> </w:t>
      </w:r>
      <w:r w:rsidRPr="006A77ED">
        <w:rPr>
          <w:rFonts w:ascii="Verdana" w:hAnsi="Verdana" w:cs="FuturaFuturisLightC"/>
          <w:b/>
          <w:i/>
          <w:color w:val="595959"/>
          <w:sz w:val="14"/>
          <w:szCs w:val="14"/>
        </w:rPr>
        <w:t>ИнвестОценка</w:t>
      </w:r>
      <w:r w:rsidRPr="006A77ED">
        <w:rPr>
          <w:rFonts w:ascii="Verdana" w:hAnsi="Verdana" w:cs="FuturaFuturisLightC"/>
          <w:color w:val="595959"/>
          <w:sz w:val="14"/>
          <w:szCs w:val="14"/>
        </w:rPr>
        <w:t xml:space="preserve"> </w:t>
      </w:r>
      <w:r w:rsidRPr="006A77ED">
        <w:rPr>
          <w:rFonts w:ascii="Verdana" w:hAnsi="Verdana"/>
          <w:bCs/>
          <w:color w:val="595959"/>
          <w:sz w:val="14"/>
          <w:szCs w:val="14"/>
        </w:rPr>
        <w:t>оставляет за собой право корректировать и обновлять данные</w:t>
      </w:r>
      <w:r>
        <w:rPr>
          <w:rFonts w:ascii="Verdana" w:hAnsi="Verdana"/>
          <w:bCs/>
          <w:color w:val="595959"/>
          <w:sz w:val="14"/>
          <w:szCs w:val="14"/>
        </w:rPr>
        <w:t xml:space="preserve"> настоящего Обзора</w:t>
      </w:r>
      <w:r w:rsidRPr="006A77ED">
        <w:rPr>
          <w:rFonts w:ascii="Verdana" w:hAnsi="Verdana"/>
          <w:bCs/>
          <w:color w:val="595959"/>
          <w:sz w:val="14"/>
          <w:szCs w:val="14"/>
        </w:rPr>
        <w:t xml:space="preserve"> в любое время и по своему усмотрению без уведомления.</w:t>
      </w:r>
    </w:p>
    <w:p w:rsidR="0085174A" w:rsidRPr="00721E6D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всем вопросам, а также с пожеланиями и комментариями вы можете обращаться</w:t>
      </w:r>
      <w:r w:rsidRPr="00E416AC">
        <w:rPr>
          <w:rFonts w:ascii="Verdana" w:hAnsi="Verdana"/>
          <w:bCs/>
          <w:color w:val="595959"/>
          <w:sz w:val="14"/>
          <w:szCs w:val="14"/>
        </w:rPr>
        <w:t>:</w:t>
      </w:r>
    </w:p>
    <w:p w:rsidR="0085174A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>по телефонам: +7 (473) 232-25-01, +7 (473)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  <w:r>
        <w:rPr>
          <w:rFonts w:ascii="Verdana" w:hAnsi="Verdana"/>
          <w:bCs/>
          <w:color w:val="595959"/>
          <w:sz w:val="14"/>
          <w:szCs w:val="14"/>
        </w:rPr>
        <w:t>253-12-53;</w:t>
      </w:r>
    </w:p>
    <w:p w:rsidR="0085174A" w:rsidRPr="00E416AC" w:rsidRDefault="0085174A" w:rsidP="0085174A">
      <w:pPr>
        <w:pStyle w:val="a9"/>
        <w:numPr>
          <w:ilvl w:val="0"/>
          <w:numId w:val="1"/>
        </w:numPr>
        <w:tabs>
          <w:tab w:val="left" w:pos="142"/>
        </w:tabs>
        <w:spacing w:after="60"/>
        <w:ind w:left="-142" w:right="-143" w:firstLine="0"/>
        <w:jc w:val="both"/>
        <w:rPr>
          <w:rFonts w:ascii="Verdana" w:hAnsi="Verdana"/>
          <w:bCs/>
          <w:color w:val="595959"/>
          <w:sz w:val="14"/>
          <w:szCs w:val="14"/>
        </w:rPr>
      </w:pPr>
      <w:r>
        <w:rPr>
          <w:rFonts w:ascii="Verdana" w:hAnsi="Verdana"/>
          <w:bCs/>
          <w:color w:val="595959"/>
          <w:sz w:val="14"/>
          <w:szCs w:val="14"/>
        </w:rPr>
        <w:t xml:space="preserve">по электронной 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почте: </w:t>
      </w:r>
      <w:hyperlink r:id="rId24" w:history="1">
        <w:r w:rsidRPr="00E416AC">
          <w:rPr>
            <w:rStyle w:val="a3"/>
            <w:rFonts w:ascii="Verdana" w:hAnsi="Verdana"/>
            <w:color w:val="595959"/>
            <w:sz w:val="14"/>
            <w:szCs w:val="14"/>
          </w:rPr>
          <w:t>info-vrn@investocenka.ru</w:t>
        </w:r>
      </w:hyperlink>
      <w:r w:rsidRPr="00E416AC">
        <w:rPr>
          <w:rFonts w:ascii="Verdana" w:hAnsi="Verdana"/>
          <w:color w:val="595959"/>
          <w:sz w:val="14"/>
          <w:szCs w:val="14"/>
        </w:rPr>
        <w:t>.</w:t>
      </w:r>
      <w:r w:rsidRPr="00E416AC">
        <w:rPr>
          <w:rFonts w:ascii="Verdana" w:hAnsi="Verdana"/>
          <w:bCs/>
          <w:color w:val="595959"/>
          <w:sz w:val="14"/>
          <w:szCs w:val="14"/>
        </w:rPr>
        <w:t xml:space="preserve"> </w:t>
      </w: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85174A" w:rsidRDefault="0085174A" w:rsidP="0085174A">
      <w:pPr>
        <w:spacing w:after="60"/>
        <w:ind w:left="-142" w:right="-143"/>
        <w:jc w:val="both"/>
        <w:rPr>
          <w:rFonts w:ascii="Verdana" w:hAnsi="Verdana"/>
          <w:bCs/>
          <w:color w:val="595959"/>
          <w:sz w:val="14"/>
          <w:szCs w:val="14"/>
        </w:rPr>
      </w:pPr>
    </w:p>
    <w:p w:rsidR="00054AE4" w:rsidRDefault="00054AE4"/>
    <w:sectPr w:rsidR="00054AE4" w:rsidSect="00F3145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A6" w:rsidRDefault="005311A6" w:rsidP="00EA5483">
      <w:pPr>
        <w:spacing w:after="0" w:line="240" w:lineRule="auto"/>
      </w:pPr>
      <w:r>
        <w:separator/>
      </w:r>
    </w:p>
  </w:endnote>
  <w:endnote w:type="continuationSeparator" w:id="0">
    <w:p w:rsidR="005311A6" w:rsidRDefault="005311A6" w:rsidP="00EA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BT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uturaFuturi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Pr="002404A2" w:rsidRDefault="005911CE" w:rsidP="00500E73">
    <w:pPr>
      <w:tabs>
        <w:tab w:val="center" w:pos="4677"/>
        <w:tab w:val="right" w:pos="9356"/>
      </w:tabs>
      <w:spacing w:before="20" w:after="20"/>
      <w:rPr>
        <w:rFonts w:ascii="Verdana" w:hAnsi="Verdana" w:cs="FuturaBT-Book"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5911CE" w:rsidRPr="00715EF1" w:rsidRDefault="005911CE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3A6573">
      <w:rPr>
        <w:rFonts w:ascii="Verdana" w:hAnsi="Verdana"/>
        <w:noProof/>
        <w:color w:val="E36C0A"/>
        <w:sz w:val="28"/>
        <w:szCs w:val="28"/>
      </w:rPr>
      <w:t>1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  <w:p w:rsidR="005911CE" w:rsidRDefault="005911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Pr="004B4755" w:rsidRDefault="005911CE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5911CE" w:rsidRPr="00715EF1" w:rsidRDefault="005911CE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946047">
      <w:rPr>
        <w:rFonts w:ascii="Verdana" w:hAnsi="Verdana"/>
        <w:noProof/>
        <w:color w:val="E36C0A"/>
        <w:sz w:val="28"/>
        <w:szCs w:val="28"/>
      </w:rPr>
      <w:t>4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Pr="004B4755" w:rsidRDefault="005911CE" w:rsidP="00F31452">
    <w:pPr>
      <w:tabs>
        <w:tab w:val="center" w:pos="4677"/>
        <w:tab w:val="right" w:pos="9356"/>
      </w:tabs>
      <w:spacing w:before="20" w:after="20"/>
      <w:rPr>
        <w:rFonts w:ascii="Verdana" w:hAnsi="Verdana"/>
        <w:i/>
        <w:color w:val="E36C0A"/>
        <w:sz w:val="14"/>
        <w:szCs w:val="14"/>
      </w:rPr>
    </w:pPr>
    <w:r w:rsidRPr="004B4755">
      <w:rPr>
        <w:rFonts w:ascii="Verdana" w:hAnsi="Verdana" w:cs="FuturaBT-Book"/>
        <w:color w:val="E36C0A"/>
        <w:sz w:val="14"/>
        <w:szCs w:val="14"/>
        <w:lang w:val="en-US"/>
      </w:rPr>
      <w:t>Copyright</w:t>
    </w:r>
    <w:r w:rsidRPr="004B4755">
      <w:rPr>
        <w:rFonts w:ascii="Verdana" w:hAnsi="Verdana" w:cs="FuturaBT-Book"/>
        <w:color w:val="E36C0A"/>
        <w:sz w:val="14"/>
        <w:szCs w:val="14"/>
      </w:rPr>
      <w:t xml:space="preserve"> © 201</w:t>
    </w:r>
    <w:r>
      <w:rPr>
        <w:rFonts w:ascii="Verdana" w:hAnsi="Verdana" w:cs="FuturaBT-Book"/>
        <w:color w:val="E36C0A"/>
        <w:sz w:val="14"/>
        <w:szCs w:val="14"/>
      </w:rPr>
      <w:t>4</w:t>
    </w:r>
    <w:r w:rsidRPr="004B4755">
      <w:rPr>
        <w:rFonts w:ascii="Verdana" w:hAnsi="Verdana" w:cs="FuturaBT-Book"/>
        <w:color w:val="E36C0A"/>
        <w:sz w:val="14"/>
        <w:szCs w:val="14"/>
      </w:rPr>
      <w:t>, ИнвестОценка, ООО</w:t>
    </w:r>
  </w:p>
  <w:p w:rsidR="005911CE" w:rsidRPr="00715EF1" w:rsidRDefault="005911CE" w:rsidP="00F31452">
    <w:pPr>
      <w:pStyle w:val="a7"/>
      <w:jc w:val="right"/>
      <w:rPr>
        <w:rFonts w:ascii="Verdana" w:hAnsi="Verdana"/>
        <w:color w:val="E36C0A"/>
        <w:sz w:val="28"/>
        <w:szCs w:val="28"/>
      </w:rPr>
    </w:pPr>
    <w:r w:rsidRPr="00715EF1">
      <w:rPr>
        <w:rFonts w:ascii="Verdana" w:hAnsi="Verdana"/>
        <w:color w:val="E36C0A"/>
        <w:sz w:val="28"/>
        <w:szCs w:val="28"/>
      </w:rPr>
      <w:fldChar w:fldCharType="begin"/>
    </w:r>
    <w:r w:rsidRPr="00715EF1">
      <w:rPr>
        <w:rFonts w:ascii="Verdana" w:hAnsi="Verdana"/>
        <w:color w:val="E36C0A"/>
        <w:sz w:val="28"/>
        <w:szCs w:val="28"/>
      </w:rPr>
      <w:instrText xml:space="preserve"> PAGE   \* MERGEFORMAT </w:instrText>
    </w:r>
    <w:r w:rsidRPr="00715EF1">
      <w:rPr>
        <w:rFonts w:ascii="Verdana" w:hAnsi="Verdana"/>
        <w:color w:val="E36C0A"/>
        <w:sz w:val="28"/>
        <w:szCs w:val="28"/>
      </w:rPr>
      <w:fldChar w:fldCharType="separate"/>
    </w:r>
    <w:r w:rsidR="003A6573">
      <w:rPr>
        <w:rFonts w:ascii="Verdana" w:hAnsi="Verdana"/>
        <w:noProof/>
        <w:color w:val="E36C0A"/>
        <w:sz w:val="28"/>
        <w:szCs w:val="28"/>
      </w:rPr>
      <w:t>3</w:t>
    </w:r>
    <w:r w:rsidRPr="00715EF1">
      <w:rPr>
        <w:rFonts w:ascii="Verdana" w:hAnsi="Verdana"/>
        <w:color w:val="E36C0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A6" w:rsidRDefault="005311A6" w:rsidP="00EA5483">
      <w:pPr>
        <w:spacing w:after="0" w:line="240" w:lineRule="auto"/>
      </w:pPr>
      <w:r>
        <w:separator/>
      </w:r>
    </w:p>
  </w:footnote>
  <w:footnote w:type="continuationSeparator" w:id="0">
    <w:p w:rsidR="005311A6" w:rsidRDefault="005311A6" w:rsidP="00EA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Default="005911CE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-137160</wp:posOffset>
          </wp:positionV>
          <wp:extent cx="6193155" cy="1202055"/>
          <wp:effectExtent l="1905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155" cy="1202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Default="005911CE" w:rsidP="00F31452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1294130</wp:posOffset>
          </wp:positionV>
          <wp:extent cx="9760585" cy="62865"/>
          <wp:effectExtent l="19050" t="0" r="0" b="0"/>
          <wp:wrapSquare wrapText="bothSides"/>
          <wp:docPr id="10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0585" cy="6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1094105</wp:posOffset>
          </wp:positionV>
          <wp:extent cx="3526790" cy="158750"/>
          <wp:effectExtent l="19050" t="0" r="0" b="0"/>
          <wp:wrapSquare wrapText="bothSides"/>
          <wp:docPr id="1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259080</wp:posOffset>
          </wp:positionV>
          <wp:extent cx="1793240" cy="826770"/>
          <wp:effectExtent l="19050" t="0" r="0" b="0"/>
          <wp:wrapSquare wrapText="bothSides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186055</wp:posOffset>
          </wp:positionV>
          <wp:extent cx="4151630" cy="1066800"/>
          <wp:effectExtent l="19050" t="0" r="1270" b="0"/>
          <wp:wrapSquare wrapText="bothSides"/>
          <wp:docPr id="1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CE" w:rsidRDefault="005911CE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-132080</wp:posOffset>
          </wp:positionV>
          <wp:extent cx="6271895" cy="1216660"/>
          <wp:effectExtent l="19050" t="0" r="0" b="0"/>
          <wp:wrapSquare wrapText="bothSides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  <w:p w:rsidR="005911CE" w:rsidRDefault="005911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2298"/>
    <w:multiLevelType w:val="hybridMultilevel"/>
    <w:tmpl w:val="8AAC910A"/>
    <w:lvl w:ilvl="0" w:tplc="AE0CA8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A"/>
    <w:rsid w:val="00000366"/>
    <w:rsid w:val="000024C6"/>
    <w:rsid w:val="000047F6"/>
    <w:rsid w:val="00004CAE"/>
    <w:rsid w:val="00015CCC"/>
    <w:rsid w:val="00017A6B"/>
    <w:rsid w:val="00020C71"/>
    <w:rsid w:val="00025480"/>
    <w:rsid w:val="00025E3D"/>
    <w:rsid w:val="00027397"/>
    <w:rsid w:val="00030779"/>
    <w:rsid w:val="00032755"/>
    <w:rsid w:val="0005114E"/>
    <w:rsid w:val="000537B1"/>
    <w:rsid w:val="00054AE4"/>
    <w:rsid w:val="00060416"/>
    <w:rsid w:val="000626F2"/>
    <w:rsid w:val="00063166"/>
    <w:rsid w:val="00065EE8"/>
    <w:rsid w:val="00072B9E"/>
    <w:rsid w:val="0007482E"/>
    <w:rsid w:val="00074C29"/>
    <w:rsid w:val="000757B6"/>
    <w:rsid w:val="00083CD8"/>
    <w:rsid w:val="00085094"/>
    <w:rsid w:val="0009087E"/>
    <w:rsid w:val="00091364"/>
    <w:rsid w:val="00091B5B"/>
    <w:rsid w:val="00095AC4"/>
    <w:rsid w:val="00097D04"/>
    <w:rsid w:val="000A4933"/>
    <w:rsid w:val="000A552D"/>
    <w:rsid w:val="000A7783"/>
    <w:rsid w:val="000B18F2"/>
    <w:rsid w:val="000B313E"/>
    <w:rsid w:val="000B6813"/>
    <w:rsid w:val="000B6BB2"/>
    <w:rsid w:val="000B70CD"/>
    <w:rsid w:val="000C0467"/>
    <w:rsid w:val="000C0B72"/>
    <w:rsid w:val="000C13DB"/>
    <w:rsid w:val="000C719F"/>
    <w:rsid w:val="000C7ED3"/>
    <w:rsid w:val="000C7FE9"/>
    <w:rsid w:val="000D7BF5"/>
    <w:rsid w:val="000E3A94"/>
    <w:rsid w:val="000E7B3B"/>
    <w:rsid w:val="000F0B1D"/>
    <w:rsid w:val="000F61EC"/>
    <w:rsid w:val="000F63AD"/>
    <w:rsid w:val="000F6D83"/>
    <w:rsid w:val="000F7D42"/>
    <w:rsid w:val="0010540A"/>
    <w:rsid w:val="00105B0B"/>
    <w:rsid w:val="0010604C"/>
    <w:rsid w:val="0011028B"/>
    <w:rsid w:val="0011251A"/>
    <w:rsid w:val="001211DE"/>
    <w:rsid w:val="0012136E"/>
    <w:rsid w:val="0012223E"/>
    <w:rsid w:val="00122543"/>
    <w:rsid w:val="00126274"/>
    <w:rsid w:val="001414EA"/>
    <w:rsid w:val="00144E4C"/>
    <w:rsid w:val="00150860"/>
    <w:rsid w:val="00152083"/>
    <w:rsid w:val="0015572B"/>
    <w:rsid w:val="00160D6A"/>
    <w:rsid w:val="00170052"/>
    <w:rsid w:val="0017297C"/>
    <w:rsid w:val="001747A0"/>
    <w:rsid w:val="00181BB7"/>
    <w:rsid w:val="0019106B"/>
    <w:rsid w:val="00191806"/>
    <w:rsid w:val="00192886"/>
    <w:rsid w:val="00192E8E"/>
    <w:rsid w:val="001A353F"/>
    <w:rsid w:val="001A6E71"/>
    <w:rsid w:val="001B2DD0"/>
    <w:rsid w:val="001B4479"/>
    <w:rsid w:val="001C0A4D"/>
    <w:rsid w:val="001C30C5"/>
    <w:rsid w:val="001C692D"/>
    <w:rsid w:val="001C7DA8"/>
    <w:rsid w:val="001D548A"/>
    <w:rsid w:val="001D588A"/>
    <w:rsid w:val="001D5A67"/>
    <w:rsid w:val="001D5B3F"/>
    <w:rsid w:val="001E2C69"/>
    <w:rsid w:val="001E48CC"/>
    <w:rsid w:val="001F277F"/>
    <w:rsid w:val="001F7D34"/>
    <w:rsid w:val="001F7EAA"/>
    <w:rsid w:val="0020117F"/>
    <w:rsid w:val="0020119B"/>
    <w:rsid w:val="00201EE0"/>
    <w:rsid w:val="00206FC7"/>
    <w:rsid w:val="002165D1"/>
    <w:rsid w:val="002240E4"/>
    <w:rsid w:val="0022670F"/>
    <w:rsid w:val="002314E2"/>
    <w:rsid w:val="00231693"/>
    <w:rsid w:val="002404A2"/>
    <w:rsid w:val="00240B74"/>
    <w:rsid w:val="00240F70"/>
    <w:rsid w:val="002561D3"/>
    <w:rsid w:val="002573AC"/>
    <w:rsid w:val="0026315F"/>
    <w:rsid w:val="00271ADE"/>
    <w:rsid w:val="00277895"/>
    <w:rsid w:val="0028162F"/>
    <w:rsid w:val="002841A5"/>
    <w:rsid w:val="002867AD"/>
    <w:rsid w:val="00291626"/>
    <w:rsid w:val="00292DC2"/>
    <w:rsid w:val="002A0A04"/>
    <w:rsid w:val="002A0B6E"/>
    <w:rsid w:val="002A3388"/>
    <w:rsid w:val="002A4AB9"/>
    <w:rsid w:val="002B0B57"/>
    <w:rsid w:val="002B1CD1"/>
    <w:rsid w:val="002B6CB7"/>
    <w:rsid w:val="002C2B47"/>
    <w:rsid w:val="002C2BC2"/>
    <w:rsid w:val="002E1239"/>
    <w:rsid w:val="002E16C6"/>
    <w:rsid w:val="002E5624"/>
    <w:rsid w:val="002E79B7"/>
    <w:rsid w:val="002F41AF"/>
    <w:rsid w:val="002F5173"/>
    <w:rsid w:val="002F5F60"/>
    <w:rsid w:val="002F7E8B"/>
    <w:rsid w:val="00300945"/>
    <w:rsid w:val="00304734"/>
    <w:rsid w:val="00304F51"/>
    <w:rsid w:val="00311D13"/>
    <w:rsid w:val="003123C5"/>
    <w:rsid w:val="00316C53"/>
    <w:rsid w:val="00321F12"/>
    <w:rsid w:val="00324B05"/>
    <w:rsid w:val="00336631"/>
    <w:rsid w:val="00342BEE"/>
    <w:rsid w:val="003448CF"/>
    <w:rsid w:val="00350CAD"/>
    <w:rsid w:val="003518A9"/>
    <w:rsid w:val="003623C8"/>
    <w:rsid w:val="00376A6F"/>
    <w:rsid w:val="003833B0"/>
    <w:rsid w:val="00385444"/>
    <w:rsid w:val="00385AE2"/>
    <w:rsid w:val="003968FC"/>
    <w:rsid w:val="003973F3"/>
    <w:rsid w:val="003A0A29"/>
    <w:rsid w:val="003A0CD9"/>
    <w:rsid w:val="003A2983"/>
    <w:rsid w:val="003A30F2"/>
    <w:rsid w:val="003A33E6"/>
    <w:rsid w:val="003A6573"/>
    <w:rsid w:val="003A7C42"/>
    <w:rsid w:val="003B38CE"/>
    <w:rsid w:val="003B6002"/>
    <w:rsid w:val="003C7B27"/>
    <w:rsid w:val="003D31FF"/>
    <w:rsid w:val="003D5823"/>
    <w:rsid w:val="003E0FA4"/>
    <w:rsid w:val="003E204E"/>
    <w:rsid w:val="003E3567"/>
    <w:rsid w:val="003F27B4"/>
    <w:rsid w:val="003F7502"/>
    <w:rsid w:val="00400F84"/>
    <w:rsid w:val="00401519"/>
    <w:rsid w:val="0040247F"/>
    <w:rsid w:val="00404ED9"/>
    <w:rsid w:val="00413CE6"/>
    <w:rsid w:val="004147DC"/>
    <w:rsid w:val="0041679A"/>
    <w:rsid w:val="00417BCE"/>
    <w:rsid w:val="004206D2"/>
    <w:rsid w:val="004267FD"/>
    <w:rsid w:val="00434492"/>
    <w:rsid w:val="00435C96"/>
    <w:rsid w:val="004377D9"/>
    <w:rsid w:val="004410D9"/>
    <w:rsid w:val="00444AA6"/>
    <w:rsid w:val="00461760"/>
    <w:rsid w:val="00463E6F"/>
    <w:rsid w:val="004707C7"/>
    <w:rsid w:val="00471CFC"/>
    <w:rsid w:val="00472132"/>
    <w:rsid w:val="00472A2B"/>
    <w:rsid w:val="00480234"/>
    <w:rsid w:val="0048321E"/>
    <w:rsid w:val="00484376"/>
    <w:rsid w:val="00487488"/>
    <w:rsid w:val="00490D42"/>
    <w:rsid w:val="004939F1"/>
    <w:rsid w:val="00494201"/>
    <w:rsid w:val="004B5BE8"/>
    <w:rsid w:val="004B6228"/>
    <w:rsid w:val="004C0800"/>
    <w:rsid w:val="004C5C27"/>
    <w:rsid w:val="004C667A"/>
    <w:rsid w:val="004C6B8B"/>
    <w:rsid w:val="004D0220"/>
    <w:rsid w:val="004D0CF5"/>
    <w:rsid w:val="004D661B"/>
    <w:rsid w:val="004E119A"/>
    <w:rsid w:val="004F3426"/>
    <w:rsid w:val="004F4F3B"/>
    <w:rsid w:val="00500E73"/>
    <w:rsid w:val="00504498"/>
    <w:rsid w:val="005060A2"/>
    <w:rsid w:val="005060F6"/>
    <w:rsid w:val="00506547"/>
    <w:rsid w:val="00506974"/>
    <w:rsid w:val="00513B77"/>
    <w:rsid w:val="00517ECD"/>
    <w:rsid w:val="00524DBB"/>
    <w:rsid w:val="005279AC"/>
    <w:rsid w:val="00527A70"/>
    <w:rsid w:val="00527E91"/>
    <w:rsid w:val="00530A36"/>
    <w:rsid w:val="005311A6"/>
    <w:rsid w:val="00531472"/>
    <w:rsid w:val="005325EA"/>
    <w:rsid w:val="0053634D"/>
    <w:rsid w:val="00536A6B"/>
    <w:rsid w:val="005375DA"/>
    <w:rsid w:val="00537B4B"/>
    <w:rsid w:val="0054179B"/>
    <w:rsid w:val="00545468"/>
    <w:rsid w:val="005501A6"/>
    <w:rsid w:val="005560F3"/>
    <w:rsid w:val="00557AE9"/>
    <w:rsid w:val="00557E7E"/>
    <w:rsid w:val="00563FA2"/>
    <w:rsid w:val="005640DA"/>
    <w:rsid w:val="00567FA8"/>
    <w:rsid w:val="00572299"/>
    <w:rsid w:val="005741E4"/>
    <w:rsid w:val="005849A5"/>
    <w:rsid w:val="005911CE"/>
    <w:rsid w:val="005A02CE"/>
    <w:rsid w:val="005A08B8"/>
    <w:rsid w:val="005A13CB"/>
    <w:rsid w:val="005A377F"/>
    <w:rsid w:val="005B4D78"/>
    <w:rsid w:val="005B639D"/>
    <w:rsid w:val="005C0208"/>
    <w:rsid w:val="005C08BB"/>
    <w:rsid w:val="005C3390"/>
    <w:rsid w:val="005D1997"/>
    <w:rsid w:val="005D3E2E"/>
    <w:rsid w:val="005D53E9"/>
    <w:rsid w:val="005D7A10"/>
    <w:rsid w:val="005F1565"/>
    <w:rsid w:val="005F5EDA"/>
    <w:rsid w:val="00603B5D"/>
    <w:rsid w:val="00604BB4"/>
    <w:rsid w:val="00605837"/>
    <w:rsid w:val="00605DA3"/>
    <w:rsid w:val="0062367D"/>
    <w:rsid w:val="00625845"/>
    <w:rsid w:val="00630A55"/>
    <w:rsid w:val="00631FF3"/>
    <w:rsid w:val="00650DA1"/>
    <w:rsid w:val="00654D0F"/>
    <w:rsid w:val="0065543C"/>
    <w:rsid w:val="00657EE3"/>
    <w:rsid w:val="006630BF"/>
    <w:rsid w:val="00665C4A"/>
    <w:rsid w:val="0066634B"/>
    <w:rsid w:val="00667242"/>
    <w:rsid w:val="00673B05"/>
    <w:rsid w:val="00675F9D"/>
    <w:rsid w:val="00676F43"/>
    <w:rsid w:val="006939AB"/>
    <w:rsid w:val="00697376"/>
    <w:rsid w:val="006A0F4D"/>
    <w:rsid w:val="006A0FD0"/>
    <w:rsid w:val="006A3346"/>
    <w:rsid w:val="006A3CC3"/>
    <w:rsid w:val="006A3E25"/>
    <w:rsid w:val="006B2D1B"/>
    <w:rsid w:val="006B4415"/>
    <w:rsid w:val="006B4DBA"/>
    <w:rsid w:val="006C0999"/>
    <w:rsid w:val="006D260B"/>
    <w:rsid w:val="006D2F71"/>
    <w:rsid w:val="006D5880"/>
    <w:rsid w:val="006E1DA3"/>
    <w:rsid w:val="006E437B"/>
    <w:rsid w:val="006E46F7"/>
    <w:rsid w:val="006F105C"/>
    <w:rsid w:val="006F260F"/>
    <w:rsid w:val="0070188A"/>
    <w:rsid w:val="0070764F"/>
    <w:rsid w:val="00707738"/>
    <w:rsid w:val="00707DB0"/>
    <w:rsid w:val="007117CF"/>
    <w:rsid w:val="00711B51"/>
    <w:rsid w:val="00711F53"/>
    <w:rsid w:val="007131F0"/>
    <w:rsid w:val="00717561"/>
    <w:rsid w:val="007259B6"/>
    <w:rsid w:val="00727A1B"/>
    <w:rsid w:val="00741CE8"/>
    <w:rsid w:val="007438B9"/>
    <w:rsid w:val="0074528A"/>
    <w:rsid w:val="0075234F"/>
    <w:rsid w:val="00752AEA"/>
    <w:rsid w:val="00754527"/>
    <w:rsid w:val="00762EAB"/>
    <w:rsid w:val="00763D57"/>
    <w:rsid w:val="00774446"/>
    <w:rsid w:val="00776632"/>
    <w:rsid w:val="00776A55"/>
    <w:rsid w:val="007772BA"/>
    <w:rsid w:val="0078186F"/>
    <w:rsid w:val="00782287"/>
    <w:rsid w:val="00783269"/>
    <w:rsid w:val="00785313"/>
    <w:rsid w:val="007870B3"/>
    <w:rsid w:val="007909CA"/>
    <w:rsid w:val="00793AE4"/>
    <w:rsid w:val="00793BCD"/>
    <w:rsid w:val="00797722"/>
    <w:rsid w:val="007B47B3"/>
    <w:rsid w:val="007B7ED9"/>
    <w:rsid w:val="007C1A2D"/>
    <w:rsid w:val="007C2D10"/>
    <w:rsid w:val="007C2EAD"/>
    <w:rsid w:val="007D2E36"/>
    <w:rsid w:val="007E07EE"/>
    <w:rsid w:val="007E715F"/>
    <w:rsid w:val="007F3027"/>
    <w:rsid w:val="007F777B"/>
    <w:rsid w:val="00803067"/>
    <w:rsid w:val="00805E1A"/>
    <w:rsid w:val="00815334"/>
    <w:rsid w:val="00815EB5"/>
    <w:rsid w:val="0081726D"/>
    <w:rsid w:val="008210CC"/>
    <w:rsid w:val="0082163D"/>
    <w:rsid w:val="00831BF5"/>
    <w:rsid w:val="00835BD4"/>
    <w:rsid w:val="008368AE"/>
    <w:rsid w:val="00840F2A"/>
    <w:rsid w:val="008500D5"/>
    <w:rsid w:val="0085174A"/>
    <w:rsid w:val="00852367"/>
    <w:rsid w:val="00852EBF"/>
    <w:rsid w:val="008547A5"/>
    <w:rsid w:val="00854814"/>
    <w:rsid w:val="00864778"/>
    <w:rsid w:val="00865D6C"/>
    <w:rsid w:val="00867E81"/>
    <w:rsid w:val="00871480"/>
    <w:rsid w:val="008769B6"/>
    <w:rsid w:val="00876E36"/>
    <w:rsid w:val="00880D69"/>
    <w:rsid w:val="00885E79"/>
    <w:rsid w:val="00890E03"/>
    <w:rsid w:val="008A0A6E"/>
    <w:rsid w:val="008A61D1"/>
    <w:rsid w:val="008B0B3E"/>
    <w:rsid w:val="008B2E7A"/>
    <w:rsid w:val="008C020D"/>
    <w:rsid w:val="008C1B26"/>
    <w:rsid w:val="008C32FE"/>
    <w:rsid w:val="008D3B61"/>
    <w:rsid w:val="008D41EE"/>
    <w:rsid w:val="008D4D65"/>
    <w:rsid w:val="008D718C"/>
    <w:rsid w:val="008D7741"/>
    <w:rsid w:val="008E1460"/>
    <w:rsid w:val="008E20B9"/>
    <w:rsid w:val="008E2A9E"/>
    <w:rsid w:val="008E5309"/>
    <w:rsid w:val="008E566D"/>
    <w:rsid w:val="008F3348"/>
    <w:rsid w:val="008F42D9"/>
    <w:rsid w:val="008F5521"/>
    <w:rsid w:val="008F5F17"/>
    <w:rsid w:val="008F6580"/>
    <w:rsid w:val="00902DD5"/>
    <w:rsid w:val="009038E4"/>
    <w:rsid w:val="00904A97"/>
    <w:rsid w:val="009054A2"/>
    <w:rsid w:val="00910529"/>
    <w:rsid w:val="00926B1C"/>
    <w:rsid w:val="00936051"/>
    <w:rsid w:val="00936B35"/>
    <w:rsid w:val="00946047"/>
    <w:rsid w:val="00951FE5"/>
    <w:rsid w:val="00956EA7"/>
    <w:rsid w:val="00963FBD"/>
    <w:rsid w:val="00971B14"/>
    <w:rsid w:val="00971E0B"/>
    <w:rsid w:val="009738DB"/>
    <w:rsid w:val="0097634E"/>
    <w:rsid w:val="00976F5A"/>
    <w:rsid w:val="00977C16"/>
    <w:rsid w:val="00981C20"/>
    <w:rsid w:val="0098446B"/>
    <w:rsid w:val="009849F1"/>
    <w:rsid w:val="009A2E62"/>
    <w:rsid w:val="009B1FC8"/>
    <w:rsid w:val="009C7B2E"/>
    <w:rsid w:val="009D0405"/>
    <w:rsid w:val="009D158C"/>
    <w:rsid w:val="009D6309"/>
    <w:rsid w:val="009E053C"/>
    <w:rsid w:val="009E0A87"/>
    <w:rsid w:val="009E0E7A"/>
    <w:rsid w:val="009F03AC"/>
    <w:rsid w:val="009F1F7F"/>
    <w:rsid w:val="00A039AA"/>
    <w:rsid w:val="00A03D5B"/>
    <w:rsid w:val="00A06150"/>
    <w:rsid w:val="00A16E0F"/>
    <w:rsid w:val="00A17300"/>
    <w:rsid w:val="00A20863"/>
    <w:rsid w:val="00A22202"/>
    <w:rsid w:val="00A22E66"/>
    <w:rsid w:val="00A26322"/>
    <w:rsid w:val="00A34819"/>
    <w:rsid w:val="00A4154C"/>
    <w:rsid w:val="00A41694"/>
    <w:rsid w:val="00A446F6"/>
    <w:rsid w:val="00A46634"/>
    <w:rsid w:val="00A46FFA"/>
    <w:rsid w:val="00A50763"/>
    <w:rsid w:val="00A57F6D"/>
    <w:rsid w:val="00A65A77"/>
    <w:rsid w:val="00A72562"/>
    <w:rsid w:val="00A802BB"/>
    <w:rsid w:val="00A8300F"/>
    <w:rsid w:val="00A8648F"/>
    <w:rsid w:val="00A93D52"/>
    <w:rsid w:val="00A950F9"/>
    <w:rsid w:val="00A96FF1"/>
    <w:rsid w:val="00A97627"/>
    <w:rsid w:val="00AA5B40"/>
    <w:rsid w:val="00AB2247"/>
    <w:rsid w:val="00AB5EC4"/>
    <w:rsid w:val="00AB740E"/>
    <w:rsid w:val="00AB7C16"/>
    <w:rsid w:val="00AC1B05"/>
    <w:rsid w:val="00AC2CC8"/>
    <w:rsid w:val="00AC2DF5"/>
    <w:rsid w:val="00AC313E"/>
    <w:rsid w:val="00AC5B4D"/>
    <w:rsid w:val="00AC6DF0"/>
    <w:rsid w:val="00AC7573"/>
    <w:rsid w:val="00AD0A50"/>
    <w:rsid w:val="00AD0A5B"/>
    <w:rsid w:val="00AD6421"/>
    <w:rsid w:val="00AD6CC8"/>
    <w:rsid w:val="00AD76A8"/>
    <w:rsid w:val="00AE04E6"/>
    <w:rsid w:val="00AE235D"/>
    <w:rsid w:val="00AE2E95"/>
    <w:rsid w:val="00AE3404"/>
    <w:rsid w:val="00AE48F6"/>
    <w:rsid w:val="00AE74F5"/>
    <w:rsid w:val="00AF178F"/>
    <w:rsid w:val="00AF1888"/>
    <w:rsid w:val="00AF22C2"/>
    <w:rsid w:val="00AF2829"/>
    <w:rsid w:val="00AF51CA"/>
    <w:rsid w:val="00B00537"/>
    <w:rsid w:val="00B03D4C"/>
    <w:rsid w:val="00B0634C"/>
    <w:rsid w:val="00B063A3"/>
    <w:rsid w:val="00B141EE"/>
    <w:rsid w:val="00B170B7"/>
    <w:rsid w:val="00B17475"/>
    <w:rsid w:val="00B204F7"/>
    <w:rsid w:val="00B23CD3"/>
    <w:rsid w:val="00B25E69"/>
    <w:rsid w:val="00B26D57"/>
    <w:rsid w:val="00B4088D"/>
    <w:rsid w:val="00B40E03"/>
    <w:rsid w:val="00B41FA4"/>
    <w:rsid w:val="00B5136B"/>
    <w:rsid w:val="00B548C0"/>
    <w:rsid w:val="00B571D0"/>
    <w:rsid w:val="00B578DA"/>
    <w:rsid w:val="00B65328"/>
    <w:rsid w:val="00B65B43"/>
    <w:rsid w:val="00B81143"/>
    <w:rsid w:val="00B8154B"/>
    <w:rsid w:val="00B824C8"/>
    <w:rsid w:val="00B849B5"/>
    <w:rsid w:val="00B96E37"/>
    <w:rsid w:val="00BA0400"/>
    <w:rsid w:val="00BA228F"/>
    <w:rsid w:val="00BA243B"/>
    <w:rsid w:val="00BA3708"/>
    <w:rsid w:val="00BA4055"/>
    <w:rsid w:val="00BA6FFB"/>
    <w:rsid w:val="00BB10DD"/>
    <w:rsid w:val="00BB4865"/>
    <w:rsid w:val="00BC0205"/>
    <w:rsid w:val="00BC43E3"/>
    <w:rsid w:val="00BD55B1"/>
    <w:rsid w:val="00BE45D3"/>
    <w:rsid w:val="00BE550F"/>
    <w:rsid w:val="00BE6151"/>
    <w:rsid w:val="00BE7549"/>
    <w:rsid w:val="00BF045A"/>
    <w:rsid w:val="00BF0C29"/>
    <w:rsid w:val="00BF6213"/>
    <w:rsid w:val="00BF6542"/>
    <w:rsid w:val="00BF76E2"/>
    <w:rsid w:val="00C01B87"/>
    <w:rsid w:val="00C0208E"/>
    <w:rsid w:val="00C1137E"/>
    <w:rsid w:val="00C11CBC"/>
    <w:rsid w:val="00C12D8C"/>
    <w:rsid w:val="00C147C4"/>
    <w:rsid w:val="00C248BB"/>
    <w:rsid w:val="00C248E3"/>
    <w:rsid w:val="00C2634E"/>
    <w:rsid w:val="00C31351"/>
    <w:rsid w:val="00C31FF8"/>
    <w:rsid w:val="00C35544"/>
    <w:rsid w:val="00C36F1B"/>
    <w:rsid w:val="00C4202A"/>
    <w:rsid w:val="00C438CD"/>
    <w:rsid w:val="00C46096"/>
    <w:rsid w:val="00C50050"/>
    <w:rsid w:val="00C50C3F"/>
    <w:rsid w:val="00C52F79"/>
    <w:rsid w:val="00C5409B"/>
    <w:rsid w:val="00C5571F"/>
    <w:rsid w:val="00C629FB"/>
    <w:rsid w:val="00C6555D"/>
    <w:rsid w:val="00C6689A"/>
    <w:rsid w:val="00C674C0"/>
    <w:rsid w:val="00C722F0"/>
    <w:rsid w:val="00C759B7"/>
    <w:rsid w:val="00C82B2D"/>
    <w:rsid w:val="00C842C8"/>
    <w:rsid w:val="00C87568"/>
    <w:rsid w:val="00C91645"/>
    <w:rsid w:val="00C92A12"/>
    <w:rsid w:val="00C92FB1"/>
    <w:rsid w:val="00C931C8"/>
    <w:rsid w:val="00CB432F"/>
    <w:rsid w:val="00CC72CE"/>
    <w:rsid w:val="00CD5756"/>
    <w:rsid w:val="00CD5EE4"/>
    <w:rsid w:val="00CD7FE9"/>
    <w:rsid w:val="00CE0D9A"/>
    <w:rsid w:val="00CE1276"/>
    <w:rsid w:val="00CE3CD3"/>
    <w:rsid w:val="00CF320C"/>
    <w:rsid w:val="00CF3E9D"/>
    <w:rsid w:val="00CF5241"/>
    <w:rsid w:val="00CF5C7C"/>
    <w:rsid w:val="00D0654F"/>
    <w:rsid w:val="00D07FE4"/>
    <w:rsid w:val="00D12C85"/>
    <w:rsid w:val="00D15B90"/>
    <w:rsid w:val="00D16BA0"/>
    <w:rsid w:val="00D20146"/>
    <w:rsid w:val="00D23EAE"/>
    <w:rsid w:val="00D24542"/>
    <w:rsid w:val="00D24EED"/>
    <w:rsid w:val="00D25DB3"/>
    <w:rsid w:val="00D26417"/>
    <w:rsid w:val="00D33A64"/>
    <w:rsid w:val="00D40938"/>
    <w:rsid w:val="00D41963"/>
    <w:rsid w:val="00D45071"/>
    <w:rsid w:val="00D465ED"/>
    <w:rsid w:val="00D4721A"/>
    <w:rsid w:val="00D5283E"/>
    <w:rsid w:val="00D536FD"/>
    <w:rsid w:val="00D56AB7"/>
    <w:rsid w:val="00D57B5F"/>
    <w:rsid w:val="00D62CDF"/>
    <w:rsid w:val="00D62F55"/>
    <w:rsid w:val="00D64A46"/>
    <w:rsid w:val="00D64CFE"/>
    <w:rsid w:val="00D65A5E"/>
    <w:rsid w:val="00D668F5"/>
    <w:rsid w:val="00D71E2E"/>
    <w:rsid w:val="00D720F3"/>
    <w:rsid w:val="00D72EF1"/>
    <w:rsid w:val="00D75113"/>
    <w:rsid w:val="00D76C6D"/>
    <w:rsid w:val="00D83A8A"/>
    <w:rsid w:val="00D8595D"/>
    <w:rsid w:val="00D87E6E"/>
    <w:rsid w:val="00D90A5F"/>
    <w:rsid w:val="00DA15A8"/>
    <w:rsid w:val="00DA3C3B"/>
    <w:rsid w:val="00DB025E"/>
    <w:rsid w:val="00DB2C6B"/>
    <w:rsid w:val="00DB2D09"/>
    <w:rsid w:val="00DB6A79"/>
    <w:rsid w:val="00DC0A34"/>
    <w:rsid w:val="00DC6424"/>
    <w:rsid w:val="00DD1905"/>
    <w:rsid w:val="00DD2FD5"/>
    <w:rsid w:val="00DD2FDC"/>
    <w:rsid w:val="00DD47E3"/>
    <w:rsid w:val="00DD4F6D"/>
    <w:rsid w:val="00DE00F1"/>
    <w:rsid w:val="00DF5E80"/>
    <w:rsid w:val="00DF64AF"/>
    <w:rsid w:val="00DF7D2F"/>
    <w:rsid w:val="00E025C2"/>
    <w:rsid w:val="00E0463C"/>
    <w:rsid w:val="00E15F1F"/>
    <w:rsid w:val="00E16075"/>
    <w:rsid w:val="00E270DC"/>
    <w:rsid w:val="00E30F4E"/>
    <w:rsid w:val="00E32CA9"/>
    <w:rsid w:val="00E40974"/>
    <w:rsid w:val="00E463EC"/>
    <w:rsid w:val="00E5150E"/>
    <w:rsid w:val="00E540B0"/>
    <w:rsid w:val="00E55865"/>
    <w:rsid w:val="00E57F78"/>
    <w:rsid w:val="00E64BF5"/>
    <w:rsid w:val="00E668F8"/>
    <w:rsid w:val="00E71ED9"/>
    <w:rsid w:val="00E72C38"/>
    <w:rsid w:val="00E73657"/>
    <w:rsid w:val="00E74E4B"/>
    <w:rsid w:val="00E75B70"/>
    <w:rsid w:val="00E8070B"/>
    <w:rsid w:val="00E818D9"/>
    <w:rsid w:val="00E93847"/>
    <w:rsid w:val="00E943A9"/>
    <w:rsid w:val="00EA1C5C"/>
    <w:rsid w:val="00EA3E55"/>
    <w:rsid w:val="00EA5483"/>
    <w:rsid w:val="00EA7B9D"/>
    <w:rsid w:val="00EB47A1"/>
    <w:rsid w:val="00EB647A"/>
    <w:rsid w:val="00EB6D7F"/>
    <w:rsid w:val="00EC4206"/>
    <w:rsid w:val="00EC42C4"/>
    <w:rsid w:val="00EC7203"/>
    <w:rsid w:val="00ED0506"/>
    <w:rsid w:val="00ED6B83"/>
    <w:rsid w:val="00EE4263"/>
    <w:rsid w:val="00EE65B2"/>
    <w:rsid w:val="00EF5984"/>
    <w:rsid w:val="00EF727E"/>
    <w:rsid w:val="00F01072"/>
    <w:rsid w:val="00F03DFD"/>
    <w:rsid w:val="00F104E7"/>
    <w:rsid w:val="00F17A6E"/>
    <w:rsid w:val="00F2063C"/>
    <w:rsid w:val="00F21C09"/>
    <w:rsid w:val="00F2327C"/>
    <w:rsid w:val="00F24EA2"/>
    <w:rsid w:val="00F26F25"/>
    <w:rsid w:val="00F31452"/>
    <w:rsid w:val="00F35D99"/>
    <w:rsid w:val="00F36F07"/>
    <w:rsid w:val="00F42931"/>
    <w:rsid w:val="00F47515"/>
    <w:rsid w:val="00F50B57"/>
    <w:rsid w:val="00F55102"/>
    <w:rsid w:val="00F563A0"/>
    <w:rsid w:val="00F6140F"/>
    <w:rsid w:val="00F62222"/>
    <w:rsid w:val="00F64C0A"/>
    <w:rsid w:val="00F6585D"/>
    <w:rsid w:val="00F66C29"/>
    <w:rsid w:val="00F76DA4"/>
    <w:rsid w:val="00F826FD"/>
    <w:rsid w:val="00F828C5"/>
    <w:rsid w:val="00F82FDB"/>
    <w:rsid w:val="00F831C8"/>
    <w:rsid w:val="00F84B07"/>
    <w:rsid w:val="00F93F9E"/>
    <w:rsid w:val="00F94AFC"/>
    <w:rsid w:val="00FA1BA9"/>
    <w:rsid w:val="00FA1DDF"/>
    <w:rsid w:val="00FA306A"/>
    <w:rsid w:val="00FC1039"/>
    <w:rsid w:val="00FC1BF8"/>
    <w:rsid w:val="00FD3310"/>
    <w:rsid w:val="00FD4529"/>
    <w:rsid w:val="00FD705D"/>
    <w:rsid w:val="00FE09F5"/>
    <w:rsid w:val="00FE171A"/>
    <w:rsid w:val="00FE1999"/>
    <w:rsid w:val="00FE6AF5"/>
    <w:rsid w:val="00FF265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51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7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8517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174A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4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7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4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5174A"/>
    <w:pPr>
      <w:ind w:left="720"/>
      <w:contextualSpacing/>
    </w:pPr>
  </w:style>
  <w:style w:type="character" w:styleId="aa">
    <w:name w:val="Strong"/>
    <w:basedOn w:val="a0"/>
    <w:uiPriority w:val="22"/>
    <w:qFormat/>
    <w:rsid w:val="0085174A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85174A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-vrn@investocenk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CED2C-36FA-404E-94FD-38E501C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ИнвестОценка-ПК</dc:creator>
  <cp:lastModifiedBy>Алексей</cp:lastModifiedBy>
  <cp:revision>12</cp:revision>
  <cp:lastPrinted>2012-06-05T15:46:00Z</cp:lastPrinted>
  <dcterms:created xsi:type="dcterms:W3CDTF">2014-04-09T15:36:00Z</dcterms:created>
  <dcterms:modified xsi:type="dcterms:W3CDTF">2014-04-09T15:43:00Z</dcterms:modified>
</cp:coreProperties>
</file>