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3" w:rsidRPr="00151064" w:rsidRDefault="004F06CE" w:rsidP="00E13EAD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Общие тенденции на </w:t>
      </w:r>
      <w:r w:rsidR="00CD5723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вторичном 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р</w:t>
      </w:r>
      <w:r w:rsidR="00E06B77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квартир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DE4078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.</w:t>
      </w:r>
      <w:r w:rsidR="00712178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</w:p>
    <w:p w:rsidR="00E13EAD" w:rsidRPr="00203CC8" w:rsidRDefault="00CA5B22" w:rsidP="00203CC8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343D06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2015</w:t>
      </w:r>
      <w:r w:rsidR="002F2DCE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1C1E18" w:rsidRPr="00151064" w:rsidRDefault="001C1E18" w:rsidP="001C1E18">
      <w:pPr>
        <w:jc w:val="both"/>
        <w:rPr>
          <w:rFonts w:ascii="Franklin Gothic Book" w:hAnsi="Franklin Gothic Book"/>
        </w:rPr>
      </w:pPr>
      <w:r w:rsidRPr="00151064">
        <w:rPr>
          <w:rFonts w:ascii="Franklin Gothic Book" w:hAnsi="Franklin Gothic Book"/>
        </w:rPr>
        <w:t xml:space="preserve">(Мария </w:t>
      </w:r>
      <w:proofErr w:type="spellStart"/>
      <w:r w:rsidRPr="00151064">
        <w:rPr>
          <w:rFonts w:ascii="Franklin Gothic Book" w:hAnsi="Franklin Gothic Book"/>
        </w:rPr>
        <w:t>Бент</w:t>
      </w:r>
      <w:proofErr w:type="spellEnd"/>
      <w:r w:rsidRPr="00151064">
        <w:rPr>
          <w:rFonts w:ascii="Franklin Gothic Book" w:hAnsi="Franklin Gothic Book"/>
        </w:rPr>
        <w:t>, САРН, ГК "Бюллетень Недвижимости")</w:t>
      </w:r>
    </w:p>
    <w:p w:rsidR="002F2DCE" w:rsidRPr="00151064" w:rsidRDefault="002F2DCE" w:rsidP="00E23604">
      <w:pPr>
        <w:rPr>
          <w:rFonts w:ascii="Franklin Gothic Book" w:hAnsi="Franklin Gothic Book"/>
        </w:rPr>
      </w:pPr>
      <w:r w:rsidRPr="00151064">
        <w:rPr>
          <w:rFonts w:ascii="Franklin Gothic Book" w:hAnsi="Franklin Gothic Book"/>
        </w:rPr>
        <w:t>_______________________________________________________________</w:t>
      </w:r>
      <w:r w:rsidR="00F7511B" w:rsidRPr="00151064">
        <w:rPr>
          <w:rFonts w:ascii="Franklin Gothic Book" w:hAnsi="Franklin Gothic Book"/>
        </w:rPr>
        <w:t>______________________</w:t>
      </w: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391683">
        <w:rPr>
          <w:rFonts w:ascii="Franklin Gothic Book" w:hAnsi="Franklin Gothic Book"/>
          <w:sz w:val="22"/>
          <w:szCs w:val="22"/>
        </w:rPr>
        <w:t>За минувший 2015 год изменение средней цены предложения на вторичном рынке квартир в рублевом эквиваленте составило минус 0,1%, это 72 тыс. руб. с кв. м. Показатель средней цены предложения в декабре 2015 года составил 103 тыс. руб. за кв. м.</w:t>
      </w:r>
    </w:p>
    <w:p w:rsidR="00DE41DA" w:rsidRPr="00B22964" w:rsidRDefault="00DE41DA" w:rsidP="005D5777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41DA" w:rsidRPr="00151064" w:rsidTr="00F7511B">
        <w:tc>
          <w:tcPr>
            <w:tcW w:w="4785" w:type="dxa"/>
          </w:tcPr>
          <w:p w:rsidR="00DE41DA" w:rsidRDefault="00391683" w:rsidP="00DE41DA">
            <w:pPr>
              <w:pStyle w:val="Tabledate"/>
              <w:ind w:left="-142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391683">
              <w:rPr>
                <w:rFonts w:ascii="Franklin Gothic Book" w:hAnsi="Franklin Gothic Book"/>
                <w:i/>
                <w:iCs/>
                <w:sz w:val="24"/>
                <w:szCs w:val="24"/>
              </w:rPr>
              <w:drawing>
                <wp:inline distT="0" distB="0" distL="0" distR="0" wp14:anchorId="42433DBF" wp14:editId="4DCE09CE">
                  <wp:extent cx="2952000" cy="1900800"/>
                  <wp:effectExtent l="0" t="0" r="1270" b="444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03CC8" w:rsidRPr="00203CC8" w:rsidRDefault="00203CC8" w:rsidP="00DE41DA">
            <w:pPr>
              <w:pStyle w:val="Tabledate"/>
              <w:ind w:left="-142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          </w:t>
            </w:r>
            <w:r w:rsidRPr="00203CC8">
              <w:rPr>
                <w:rFonts w:ascii="Franklin Gothic Book" w:hAnsi="Franklin Gothic Book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23962" cy="185738"/>
                  <wp:effectExtent l="19050" t="0" r="0" b="0"/>
                  <wp:docPr id="2" name="Рисунок 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41DA" w:rsidRDefault="00391683" w:rsidP="00DE41DA">
            <w:pPr>
              <w:pStyle w:val="Tabledate"/>
              <w:ind w:left="-93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391683">
              <w:rPr>
                <w:rFonts w:ascii="Franklin Gothic Book" w:hAnsi="Franklin Gothic Book"/>
                <w:i/>
                <w:iCs/>
                <w:sz w:val="24"/>
                <w:szCs w:val="24"/>
              </w:rPr>
              <w:drawing>
                <wp:inline distT="0" distB="0" distL="0" distR="0" wp14:anchorId="3C99E8B1" wp14:editId="1A69852A">
                  <wp:extent cx="2952000" cy="1900800"/>
                  <wp:effectExtent l="0" t="0" r="1270" b="444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03CC8" w:rsidRPr="00203CC8" w:rsidRDefault="00203CC8" w:rsidP="00DE41DA">
            <w:pPr>
              <w:pStyle w:val="Tabledate"/>
              <w:ind w:left="-93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      </w:t>
            </w:r>
            <w:r w:rsidRPr="00203CC8">
              <w:rPr>
                <w:rFonts w:ascii="Franklin Gothic Book" w:hAnsi="Franklin Gothic Book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23962" cy="185738"/>
                  <wp:effectExtent l="19050" t="0" r="0" b="0"/>
                  <wp:docPr id="11" name="Рисунок 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1DA" w:rsidRPr="00151064" w:rsidTr="00F7511B">
        <w:tc>
          <w:tcPr>
            <w:tcW w:w="4785" w:type="dxa"/>
          </w:tcPr>
          <w:p w:rsidR="00DE41DA" w:rsidRPr="004B2969" w:rsidRDefault="00D516B4" w:rsidP="00D516B4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</w:t>
            </w:r>
            <w:r w:rsidR="00DE41DA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ен</w:t>
            </w: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на вторичном рынке</w:t>
            </w:r>
            <w:r w:rsidR="00DE41DA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, руб./кв. м</w:t>
            </w:r>
          </w:p>
        </w:tc>
        <w:tc>
          <w:tcPr>
            <w:tcW w:w="4786" w:type="dxa"/>
          </w:tcPr>
          <w:p w:rsidR="00DE41DA" w:rsidRPr="004B2969" w:rsidRDefault="00DE41DA" w:rsidP="00F7511B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203CC8" w:rsidRPr="00151064" w:rsidRDefault="00203CC8" w:rsidP="00ED129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Доля объектов, цена которых меньше 85 тыс. руб. за кв. м, составила в декабре 2015 года 23,7% от общего объема предложения квартир. Большую долю рынка занимает диапазон цены от 85 до 105 тыс. руб. за кв. м, это 41,4% от объема выставленных на продажу квартир. Диапазон стоимости квадратного метра от 105 до 125 тыс. руб. занимает 21,6%. Доля дорогих объектов, цена которых превышает 125 тыс. руб. за кв. м, составляет 13,2% от всего предложения.</w:t>
      </w:r>
    </w:p>
    <w:p w:rsidR="00ED129E" w:rsidRPr="00151064" w:rsidRDefault="00ED129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ED129E" w:rsidRDefault="00391683" w:rsidP="00F7511B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391683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CBE2247" wp14:editId="3CD21CB5">
            <wp:extent cx="2952000" cy="1900800"/>
            <wp:effectExtent l="0" t="0" r="127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CC8" w:rsidRPr="00151064" w:rsidRDefault="00203CC8" w:rsidP="00203CC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4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E5" w:rsidRPr="00203CC8" w:rsidRDefault="00F7511B" w:rsidP="00203CC8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</w:t>
      </w:r>
      <w:r w:rsidR="00D516B4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ED129E" w:rsidRDefault="00ED129E" w:rsidP="002F2DC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7511B" w:rsidRPr="004B2969" w:rsidRDefault="00F7511B" w:rsidP="00F7511B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</w:t>
      </w:r>
      <w:r w:rsidR="00D516B4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tbl>
      <w:tblPr>
        <w:tblW w:w="9313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076"/>
        <w:gridCol w:w="3541"/>
      </w:tblGrid>
      <w:tr w:rsidR="00391683" w:rsidRPr="00151064" w:rsidTr="00B22964">
        <w:trPr>
          <w:cantSplit/>
          <w:trHeight w:val="23"/>
          <w:tblHeader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</w:tr>
      <w:tr w:rsidR="00391683" w:rsidRPr="00151064" w:rsidTr="00614EE5">
        <w:trPr>
          <w:trHeight w:val="4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&lt;75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6.50%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7.28%</w:t>
            </w:r>
          </w:p>
        </w:tc>
      </w:tr>
      <w:tr w:rsidR="00391683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75-85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14.39%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16.45%</w:t>
            </w:r>
          </w:p>
        </w:tc>
      </w:tr>
      <w:tr w:rsidR="00391683" w:rsidRPr="00151064" w:rsidTr="00B22964">
        <w:trPr>
          <w:trHeight w:val="5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85-95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20.81%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21.43%</w:t>
            </w:r>
          </w:p>
        </w:tc>
      </w:tr>
      <w:tr w:rsidR="00391683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95-105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21.54%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19.97%</w:t>
            </w:r>
          </w:p>
        </w:tc>
      </w:tr>
      <w:tr w:rsidR="00391683" w:rsidRPr="00151064" w:rsidTr="00B22964">
        <w:trPr>
          <w:trHeight w:val="5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105-115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14.79%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13.37%</w:t>
            </w:r>
          </w:p>
        </w:tc>
      </w:tr>
      <w:tr w:rsidR="00391683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115-125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8.41%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8.26%</w:t>
            </w:r>
          </w:p>
        </w:tc>
      </w:tr>
      <w:tr w:rsidR="00391683" w:rsidRPr="00151064" w:rsidTr="00B22964">
        <w:trPr>
          <w:trHeight w:val="4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125-135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5.19%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4.97%</w:t>
            </w:r>
          </w:p>
        </w:tc>
      </w:tr>
      <w:tr w:rsidR="00391683" w:rsidRPr="00151064" w:rsidTr="00B22964">
        <w:trPr>
          <w:trHeight w:val="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135-145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2.59%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2.75%</w:t>
            </w:r>
          </w:p>
        </w:tc>
      </w:tr>
      <w:tr w:rsidR="00391683" w:rsidRPr="00151064" w:rsidTr="00B22964">
        <w:trPr>
          <w:trHeight w:val="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&gt;145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5.78%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5.52%</w:t>
            </w:r>
          </w:p>
        </w:tc>
      </w:tr>
    </w:tbl>
    <w:p w:rsidR="00F7511B" w:rsidRPr="00151064" w:rsidRDefault="00F7511B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F7511B" w:rsidRPr="00151064" w:rsidSect="00F751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11B" w:rsidRPr="00151064" w:rsidRDefault="00F7511B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203CC8" w:rsidRDefault="00203CC8" w:rsidP="00203CC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Объем предложения в декабре 2015 года составил 13,6 тысячи квартир, выставленных на продажу в течение месяца, что на 16,1% ниже показателя в декабре 2014 года. Максимальный объем предложения за прошедший год зафиксирован в декабре 2014 года.</w:t>
      </w:r>
    </w:p>
    <w:p w:rsidR="001F1900" w:rsidRPr="00151064" w:rsidRDefault="001F1900" w:rsidP="00B7115D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ED129E" w:rsidRDefault="00391683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91683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341AE45" wp14:editId="38FC0C79">
            <wp:extent cx="5940425" cy="202501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6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DE6C14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Объем предложения (квартир в месяц)</w:t>
      </w:r>
    </w:p>
    <w:p w:rsidR="00203CC8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Минимальный срок экспозиции, как правило, у ликвидного жилья – однокомнатных и малогабаритных двухкомнатных квартир. Максимальный период рекламы – у квартир с числом комнат более трех. Время экспозиции объектов на конец ноября 2015 года в среднем по вторичному рынку квартир составило 46 дней, что на 3,2% выше по сравнению с ноябрем 2014 года.</w:t>
      </w:r>
    </w:p>
    <w:p w:rsidR="005A2FA0" w:rsidRPr="00B22964" w:rsidRDefault="005A2FA0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ED129E" w:rsidRDefault="00391683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91683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2C0F29C" wp14:editId="2DE0E689">
            <wp:extent cx="5940425" cy="202501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9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DE6C14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Время экспозиции, количество дней в листингах БН</w:t>
      </w:r>
    </w:p>
    <w:p w:rsidR="00BC6497" w:rsidRPr="00151064" w:rsidRDefault="00BC6497" w:rsidP="00007906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 xml:space="preserve">На конец декабря 2015 года суммарная площадь выставленных на продажу квартир составила 0,8 млн кв. м. В данном объеме преобладали трех- и двухкомнатные квартиры, что составило 241 и 293 тыс. кв. м жилья соответственно. Для сравнения: в декабре 2014 года суммарная площадь выставленных на продажу квартир была 0,9 млн кв. м. </w:t>
      </w:r>
    </w:p>
    <w:p w:rsidR="003C195E" w:rsidRPr="002431C8" w:rsidRDefault="002431C8" w:rsidP="002431C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2431C8">
        <w:rPr>
          <w:rFonts w:ascii="Franklin Gothic Book" w:hAnsi="Franklin Gothic Book"/>
          <w:sz w:val="22"/>
          <w:szCs w:val="22"/>
        </w:rPr>
        <w:t xml:space="preserve"> </w:t>
      </w:r>
      <w:r w:rsidR="003C195E" w:rsidRPr="00E45B1D">
        <w:rPr>
          <w:rFonts w:ascii="Franklin Gothic Book" w:hAnsi="Franklin Gothic Book"/>
          <w:sz w:val="22"/>
          <w:szCs w:val="22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C14" w:rsidRPr="00151064" w:rsidTr="00F7511B">
        <w:tc>
          <w:tcPr>
            <w:tcW w:w="4785" w:type="dxa"/>
          </w:tcPr>
          <w:p w:rsidR="00DE6C14" w:rsidRDefault="00391683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rect id="Прямоугольник 14" o:spid="_x0000_s1026" style="position:absolute;margin-left:145.85pt;margin-top:3.95pt;width:107.75pt;height:16.4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eWAAIAAJ4DAAAOAAAAZHJzL2Uyb0RvYy54bWysU0uOEzEQ3SNxB8t70ul8RkMrndGIIWwG&#10;GGngAI7bnbawXcZ20p0dElskjjCHYIP4zBk6N6LsZDID7BC9sPypevVe1evZWacV2QjnJZiS5oMh&#10;JcJwqKRZlfTtm8WTU0p8YKZiCowo6VZ4ejZ//GjW2kKMoAFVCUcQxPiitSVtQrBFlnneCM38AKww&#10;+FiD0yzg0a2yyrEW0bXKRsPhSdaCq6wDLrzH24v9I50n/LoWPLyuay8CUSVFbiGtLq3LuGbzGStW&#10;jtlG8gMN9g8sNJMGix6hLlhgZO3kX1Bacgce6jDgoDOoa8lF0oBq8uEfaq4bZkXSgs3x9tgm//9g&#10;+avNlSOywtlNxpMxJYZpHFN/s/uw+9z/6G93H/sv/W3/ffep/9l/7b+RfBKb1lpfYO61vXJRtreX&#10;wN95YuBZw8xKnDsHbSNYhVTzGJ/9lhAPHlPJsn0JFdZj6wCpf13tdATEzpAujWl7HJPoAuF4mY9P&#10;TvPpiBKOb6N8OpkkShkr7rKt8+GFAE3ipqQObZDQ2ebSh8iGFXchsZiBhVQqWUEZ0pb06XQ0TQkP&#10;XrQM6FQldUlPh/HbeyeKfG6qlByYVPs9FlDmoDoK3TcsdMsOA6P6JVRb1N+i80rq36+Zi4OOjTzH&#10;VixkYnkfeIBCEyTyB8NGlz08p6j732r+CwAA//8DAFBLAwQUAAYACAAAACEAD0USJ98AAAAIAQAA&#10;DwAAAGRycy9kb3ducmV2LnhtbEyPzU7DMBCE70i8g7VIXFBr90f9CXEqVEAqvRH6AE68TULjdRS7&#10;bXh7tie47WhGM9+mm8G14oJ9aDxpmIwVCKTS24YqDYev99EKRIiGrGk9oYYfDLDJ7u9Sk1h/pU+8&#10;5LESXEIhMRrqGLtEylDW6EwY+w6JvaPvnYks+0ra3ly53LVyqtRCOtMQL9Smw22N5Sk/Ow0f+/n+&#10;sN3J79O6eX3aLXMli8Wb1o8Pw8sziIhD/AvDDZ/RIWOmwp/JBtFqGE0Uo8fbAYL9qZovQRQaZrMV&#10;yCyV/x/IfgEAAP//AwBQSwECLQAUAAYACAAAACEAtoM4kv4AAADhAQAAEwAAAAAAAAAAAAAAAAAA&#10;AAAAW0NvbnRlbnRfVHlwZXNdLnhtbFBLAQItABQABgAIAAAAIQA4/SH/1gAAAJQBAAALAAAAAAAA&#10;AAAAAAAAAC8BAABfcmVscy8ucmVsc1BLAQItABQABgAIAAAAIQD9LqeWAAIAAJ4DAAAOAAAAAAAA&#10;AAAAAAAAAC4CAABkcnMvZTJvRG9jLnhtbFBLAQItABQABgAIAAAAIQAPRRIn3wAAAAgBAAAPAAAA&#10;AAAAAAAAAAAAAFoEAABkcnMvZG93bnJldi54bWxQSwUGAAAAAAQABADzAAAAZgUAAAAA&#10;" filled="f" stroked="f">
                  <v:textbox style="mso-fit-shape-to-text:t">
                    <w:txbxContent>
                      <w:p w:rsidR="00391683" w:rsidRPr="00391683" w:rsidRDefault="00391683" w:rsidP="00391683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17"/>
                            <w:szCs w:val="17"/>
                          </w:rPr>
                        </w:pPr>
                        <w:r w:rsidRPr="00391683">
                          <w:rPr>
                            <w:rFonts w:ascii="PT Sans" w:hAnsi="PT Sans"/>
                            <w:b/>
                            <w:bCs/>
                            <w:color w:val="000000" w:themeColor="text1"/>
                            <w:kern w:val="24"/>
                            <w:sz w:val="17"/>
                            <w:szCs w:val="17"/>
                          </w:rPr>
                          <w:t>декабрь 2014 года</w:t>
                        </w:r>
                      </w:p>
                    </w:txbxContent>
                  </v:textbox>
                </v:rect>
              </w:pict>
            </w: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3FCDEB1E" wp14:editId="59C1ABBF">
                  <wp:extent cx="2952000" cy="1368000"/>
                  <wp:effectExtent l="0" t="0" r="1270" b="381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03CC8" w:rsidRPr="00151064" w:rsidRDefault="00203CC8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75E6B405" wp14:editId="2E952AC3">
                  <wp:extent cx="1223962" cy="185738"/>
                  <wp:effectExtent l="19050" t="0" r="0" b="0"/>
                  <wp:docPr id="21" name="Рисунок 10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C14" w:rsidRDefault="00391683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606417EB" wp14:editId="7AF6842F">
                  <wp:extent cx="2952000" cy="1368000"/>
                  <wp:effectExtent l="0" t="0" r="1270" b="381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03CC8" w:rsidRPr="00151064" w:rsidRDefault="00203CC8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467473D6" wp14:editId="7C8CC130">
                  <wp:extent cx="1223962" cy="185738"/>
                  <wp:effectExtent l="19050" t="0" r="0" b="0"/>
                  <wp:docPr id="24" name="Рисунок 10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1B" w:rsidRPr="00151064" w:rsidTr="00F7511B">
        <w:tc>
          <w:tcPr>
            <w:tcW w:w="9571" w:type="dxa"/>
            <w:gridSpan w:val="2"/>
          </w:tcPr>
          <w:p w:rsidR="00F7511B" w:rsidRPr="004B2969" w:rsidRDefault="00F7511B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Суммарная площадь квартир, тыс. кв. м</w:t>
            </w:r>
          </w:p>
        </w:tc>
      </w:tr>
    </w:tbl>
    <w:p w:rsidR="001F1900" w:rsidRPr="00151064" w:rsidRDefault="001F1900" w:rsidP="00007906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 xml:space="preserve">В декабре 2015 года максимальное количество предложений однокомнатных квартир, выставленных на продажу, зафиксировано в диапазоне от 27 до 42 кв. м общей площади, что занимает 74,1% от всего объема по указанному типу. В сегменте двухкомнатных квартир максимальное предложение объектов приходится на диапазоны от 40 до 50 и от 50 до 60 кв. м, что в сумме составляет 70,7%. </w:t>
      </w:r>
      <w:proofErr w:type="gramStart"/>
      <w:r w:rsidRPr="00391683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391683">
        <w:rPr>
          <w:rFonts w:ascii="Franklin Gothic Book" w:hAnsi="Franklin Gothic Book"/>
          <w:sz w:val="22"/>
          <w:szCs w:val="22"/>
        </w:rPr>
        <w:t xml:space="preserve"> предложений объектов находится в диапазоне общей площади от 55 до 85 кв. м, это 65,1% от всего объема по данному типу квартир. </w:t>
      </w:r>
    </w:p>
    <w:p w:rsidR="00325A8C" w:rsidRPr="00B22964" w:rsidRDefault="00325A8C" w:rsidP="003C04C4">
      <w:pPr>
        <w:pStyle w:val="Tabledate"/>
        <w:ind w:firstLine="425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C14" w:rsidRPr="00151064" w:rsidTr="00DE4B92">
        <w:tc>
          <w:tcPr>
            <w:tcW w:w="4785" w:type="dxa"/>
          </w:tcPr>
          <w:p w:rsidR="00DE6C14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noProof/>
                <w:sz w:val="22"/>
                <w:szCs w:val="22"/>
              </w:rPr>
            </w:pP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33E48ECA" wp14:editId="6246A662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03CC8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4B69F6FC" wp14:editId="3B350547">
                  <wp:extent cx="2952000" cy="1368000"/>
                  <wp:effectExtent l="0" t="0" r="1270" b="381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03CC8" w:rsidRPr="00203CC8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7C184590" wp14:editId="4A319E2C">
                  <wp:extent cx="1223962" cy="185738"/>
                  <wp:effectExtent l="19050" t="0" r="0" b="0"/>
                  <wp:docPr id="30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3CC8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6C8DD75F" wp14:editId="188C4C1A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03CC8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59504D32" wp14:editId="78AE6980">
                  <wp:extent cx="2952000" cy="1368000"/>
                  <wp:effectExtent l="0" t="0" r="1270" b="381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A1D82" w:rsidRPr="00203CC8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56125ABF" wp14:editId="193025FC">
                  <wp:extent cx="1223962" cy="185738"/>
                  <wp:effectExtent l="19050" t="0" r="0" b="0"/>
                  <wp:docPr id="37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C2" w:rsidRPr="00151064" w:rsidTr="00DE4B92">
        <w:tc>
          <w:tcPr>
            <w:tcW w:w="4785" w:type="dxa"/>
          </w:tcPr>
          <w:p w:rsidR="006C3DC2" w:rsidRPr="006C3DC2" w:rsidRDefault="006C3DC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</w:tcPr>
          <w:p w:rsidR="006C3DC2" w:rsidRPr="006C3DC2" w:rsidRDefault="006C3DC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  <w:lang w:val="en-US"/>
              </w:rPr>
            </w:pPr>
          </w:p>
        </w:tc>
      </w:tr>
      <w:tr w:rsidR="00DE6C14" w:rsidRPr="00151064" w:rsidTr="00DE4B92">
        <w:tc>
          <w:tcPr>
            <w:tcW w:w="4785" w:type="dxa"/>
          </w:tcPr>
          <w:p w:rsidR="00DE6C14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672DEACB" wp14:editId="67955B10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A1D82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67D3758A" wp14:editId="36510B38">
                  <wp:extent cx="2952000" cy="1368000"/>
                  <wp:effectExtent l="0" t="0" r="1270" b="381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1A1D82" w:rsidRPr="001A1D82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5E28463F" wp14:editId="4A1BD619">
                  <wp:extent cx="1223962" cy="185738"/>
                  <wp:effectExtent l="19050" t="0" r="0" b="0"/>
                  <wp:docPr id="39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C14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28F1568C" wp14:editId="4D920E0D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A1D82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7D92D217" wp14:editId="0C69D676">
                  <wp:extent cx="2952000" cy="1368000"/>
                  <wp:effectExtent l="0" t="0" r="1270" b="381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A1D82" w:rsidRPr="001A1D82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4C6315E6" wp14:editId="104BE908">
                  <wp:extent cx="1223962" cy="185738"/>
                  <wp:effectExtent l="19050" t="0" r="0" b="0"/>
                  <wp:docPr id="43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14" w:rsidRPr="00151064" w:rsidTr="00F7511B">
        <w:tc>
          <w:tcPr>
            <w:tcW w:w="9571" w:type="dxa"/>
            <w:gridSpan w:val="2"/>
          </w:tcPr>
          <w:p w:rsidR="00DE6C14" w:rsidRPr="004B2969" w:rsidRDefault="00DE6C14" w:rsidP="00DE6C14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Диапазоны площади</w:t>
            </w:r>
            <w:r w:rsidR="004B0B09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по типам квартир</w:t>
            </w: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, кв. м</w:t>
            </w:r>
          </w:p>
        </w:tc>
      </w:tr>
    </w:tbl>
    <w:p w:rsidR="00DE4B92" w:rsidRDefault="00DE4B92" w:rsidP="00DE4B92">
      <w:pPr>
        <w:pStyle w:val="Tabledate"/>
        <w:rPr>
          <w:rFonts w:ascii="Franklin Gothic Book" w:hAnsi="Franklin Gothic Book"/>
          <w:vertAlign w:val="subscript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В структуре предложения на вторичном рынке квартир по-прежнему преобладают одно-, двух- и трехкомнатные квартиры, они составили в декабре 2015 года 91,5% рынка, многокомнатные – в среднем 8,5% от общего объема.</w:t>
      </w: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В предложении с разбивкой по типу дома в 2015 году, как и в 2014-м, преобладают кирпичные и кирпично-монолитные дома, в сумме их доля на конец декабря 2015-го составляет 40,6%. Также наибольший объем в структуре предложения занимают панельные дома старой постройки – 27,4% от всего рынка. Меньший процент приходится на квартиры в сталинских домах.</w:t>
      </w:r>
    </w:p>
    <w:p w:rsidR="00DE6C14" w:rsidRPr="00391683" w:rsidRDefault="00DE6C14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DE6C14" w:rsidRPr="00151064" w:rsidTr="00F7511B">
        <w:tc>
          <w:tcPr>
            <w:tcW w:w="4644" w:type="dxa"/>
          </w:tcPr>
          <w:p w:rsidR="00DE6C14" w:rsidRDefault="00391683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391683">
              <w:rPr>
                <w:rFonts w:ascii="Franklin Gothic Book" w:hAnsi="Franklin Gothic Book"/>
                <w:sz w:val="28"/>
                <w:szCs w:val="28"/>
              </w:rPr>
              <w:lastRenderedPageBreak/>
              <w:drawing>
                <wp:inline distT="0" distB="0" distL="0" distR="0" wp14:anchorId="7600259E" wp14:editId="3BEF2C14">
                  <wp:extent cx="2811780" cy="1645920"/>
                  <wp:effectExtent l="0" t="0" r="7620" b="1143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DE4B92" w:rsidRPr="00151064" w:rsidRDefault="00DE4B92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             </w:t>
            </w:r>
            <w:r w:rsidRPr="00DE4B92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6" name="Рисунок 25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E6C14" w:rsidRDefault="00391683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391683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A765F15" wp14:editId="0A8C083F">
                  <wp:extent cx="2833370" cy="1658620"/>
                  <wp:effectExtent l="0" t="0" r="5080" b="1778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E4B92" w:rsidRPr="00151064" w:rsidRDefault="00DE4B92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</w:t>
            </w:r>
            <w:r w:rsidRPr="00DE4B92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9" name="Рисунок 25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14" w:rsidRPr="00151064" w:rsidTr="00F7511B">
        <w:tc>
          <w:tcPr>
            <w:tcW w:w="4644" w:type="dxa"/>
          </w:tcPr>
          <w:p w:rsidR="00DE6C14" w:rsidRPr="004B2969" w:rsidRDefault="00DE6C14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Структура по типам домов, % от общего объема</w:t>
            </w:r>
            <w:r w:rsidR="00151064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предложения</w:t>
            </w:r>
          </w:p>
        </w:tc>
        <w:tc>
          <w:tcPr>
            <w:tcW w:w="4678" w:type="dxa"/>
          </w:tcPr>
          <w:p w:rsidR="00DE6C14" w:rsidRPr="004B2969" w:rsidRDefault="00DE6C14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Структура по типам квартир, % от общего объема</w:t>
            </w:r>
            <w:r w:rsidR="00151064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предложения</w:t>
            </w:r>
          </w:p>
        </w:tc>
      </w:tr>
    </w:tbl>
    <w:p w:rsidR="006219C4" w:rsidRPr="00151064" w:rsidRDefault="006219C4" w:rsidP="00C479DF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Структура предложения по районам на вторичном рынке квартир в общем объеме остается практически неизменной. На конец 2015 года лидирующие позиции занимают Приморский, Невский и Выборгский районы Петербурга, составляющие 12,1%, 11,8% и 10,4% соответственно от всего объема рынка вторичных квартир. Минимальную долю составляет предложение в Адмиралтейском и Петроградском районах, на каждый район она не превышает 4,2% от общего объема выставленных на продажу квартир.</w:t>
      </w:r>
    </w:p>
    <w:p w:rsidR="00325A8C" w:rsidRPr="00151064" w:rsidRDefault="00325A8C" w:rsidP="00326EF7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5A8C" w:rsidRDefault="00391683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91683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C53B513" wp14:editId="004AC5CA">
            <wp:extent cx="5940425" cy="20986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4B92" w:rsidRPr="00151064" w:rsidRDefault="00DE4B9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E4B92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2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4B2969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  <w:r w:rsidR="004B0B09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325A8C" w:rsidRPr="00151064" w:rsidRDefault="00325A8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В среднем по вторичному рынку цена предложения на однокомнатные квартиры понизилась за минувший год на 1,7%, на двухкомнатные понизилась на 2,4%. Трехкомнатные квартиры подешевели на 0,1%. Средние цены предложения на конец 2015 года составили на однокомнатные квартиры 4 млн руб., на двухкомнатные – 5,7 млн руб., на трехкомнатные – 8 млн руб.</w:t>
      </w: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A2FA0" w:rsidRDefault="00391683" w:rsidP="005A2FA0">
      <w:pPr>
        <w:pStyle w:val="Tabledate"/>
        <w:ind w:firstLine="426"/>
        <w:rPr>
          <w:rFonts w:ascii="Franklin Gothic Book" w:hAnsi="Franklin Gothic Book"/>
          <w:sz w:val="28"/>
          <w:szCs w:val="28"/>
        </w:rPr>
      </w:pPr>
      <w:r w:rsidRPr="00391683">
        <w:rPr>
          <w:rFonts w:ascii="Franklin Gothic Book" w:hAnsi="Franklin Gothic Book"/>
          <w:sz w:val="28"/>
          <w:szCs w:val="28"/>
        </w:rPr>
        <w:drawing>
          <wp:inline distT="0" distB="0" distL="0" distR="0" wp14:anchorId="33D33C22" wp14:editId="03AB03F7">
            <wp:extent cx="2952000" cy="1720800"/>
            <wp:effectExtent l="0" t="0" r="1270" b="1333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4B92" w:rsidRPr="00DE4B92" w:rsidRDefault="00DE4B92" w:rsidP="00DE4B92">
      <w:pPr>
        <w:pStyle w:val="Tabledate"/>
        <w:ind w:firstLine="426"/>
        <w:jc w:val="lef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               </w:t>
      </w:r>
      <w:r w:rsidRPr="00DE4B92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>
            <wp:extent cx="1223962" cy="185738"/>
            <wp:effectExtent l="19050" t="0" r="0" b="0"/>
            <wp:docPr id="55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A0" w:rsidRPr="00D57BB2" w:rsidRDefault="005A2FA0" w:rsidP="00D57BB2">
      <w:pPr>
        <w:pStyle w:val="Tabledate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квартир, руб./кв. м</w:t>
      </w:r>
    </w:p>
    <w:p w:rsidR="005A2FA0" w:rsidRPr="004B2969" w:rsidRDefault="005A2FA0" w:rsidP="004B2969">
      <w:pPr>
        <w:pStyle w:val="2"/>
      </w:pPr>
      <w:r w:rsidRPr="004B2969">
        <w:lastRenderedPageBreak/>
        <w:t>Цены по типу квартир, руб./кв.м.</w:t>
      </w:r>
    </w:p>
    <w:tbl>
      <w:tblPr>
        <w:tblW w:w="93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974"/>
        <w:gridCol w:w="2251"/>
        <w:gridCol w:w="2014"/>
        <w:gridCol w:w="2014"/>
      </w:tblGrid>
      <w:tr w:rsidR="00391683" w:rsidRPr="00151064" w:rsidTr="00B22964">
        <w:trPr>
          <w:trHeight w:val="74"/>
        </w:trPr>
        <w:tc>
          <w:tcPr>
            <w:tcW w:w="1145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97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225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201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2015 г.</w:t>
            </w:r>
          </w:p>
        </w:tc>
        <w:tc>
          <w:tcPr>
            <w:tcW w:w="201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391683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1ккв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4 165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3 975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391683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109 426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107 616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-1.65%</w:t>
            </w:r>
          </w:p>
        </w:tc>
      </w:tr>
      <w:tr w:rsidR="00391683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2ккв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6 002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5 671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391683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102 610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100 146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-2.40%</w:t>
            </w:r>
          </w:p>
        </w:tc>
      </w:tr>
      <w:tr w:rsidR="00391683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3ккв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8 202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7 981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391683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98 650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98 598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-0.05%</w:t>
            </w:r>
          </w:p>
        </w:tc>
      </w:tr>
      <w:tr w:rsidR="00391683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4ккв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11 699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11 623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391683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4B2969" w:rsidRDefault="00391683" w:rsidP="00391683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101 984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102 297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0.31%</w:t>
            </w:r>
          </w:p>
        </w:tc>
      </w:tr>
    </w:tbl>
    <w:p w:rsidR="005A2FA0" w:rsidRPr="00151064" w:rsidRDefault="005A2FA0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t>По типу дома на вторичном рынке квартир за прошедший 2015 год больший процент изменения цены квадратного метра показали квартиры в кирпично-монолитных домах. Наименьший процент изменения продемонстрировали квартиры в домах старого фонда с капитальным ремонтом.</w:t>
      </w:r>
    </w:p>
    <w:p w:rsidR="00E45B1D" w:rsidRPr="00BF7E74" w:rsidRDefault="00E45B1D" w:rsidP="00391683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FA0" w:rsidRPr="00151064" w:rsidTr="00BF7E74">
        <w:tc>
          <w:tcPr>
            <w:tcW w:w="4785" w:type="dxa"/>
          </w:tcPr>
          <w:p w:rsidR="005A2FA0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19B3FAB8" wp14:editId="28A617A6">
                  <wp:extent cx="2952000" cy="1540800"/>
                  <wp:effectExtent l="0" t="0" r="1270" b="254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D57BB2" w:rsidRPr="00151064" w:rsidRDefault="00D57BB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06E5F4A1" wp14:editId="3EE6763E">
                  <wp:extent cx="1223962" cy="185738"/>
                  <wp:effectExtent l="19050" t="0" r="0" b="0"/>
                  <wp:docPr id="60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2FA0" w:rsidRDefault="00391683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6DF4B46F" wp14:editId="5FBAF96A">
                  <wp:extent cx="2952000" cy="1540800"/>
                  <wp:effectExtent l="0" t="0" r="1270" b="2540"/>
                  <wp:docPr id="14336" name="Диаграмма 143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D57BB2" w:rsidRPr="00151064" w:rsidRDefault="00D57BB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 wp14:anchorId="472056C3" wp14:editId="3EAD46DD">
                  <wp:extent cx="1223962" cy="185738"/>
                  <wp:effectExtent l="19050" t="0" r="0" b="0"/>
                  <wp:docPr id="63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F1" w:rsidRPr="00151064" w:rsidTr="00BF7E74">
        <w:tc>
          <w:tcPr>
            <w:tcW w:w="4785" w:type="dxa"/>
          </w:tcPr>
          <w:p w:rsidR="00567EF1" w:rsidRPr="002A32C4" w:rsidRDefault="00567EF1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7EF1" w:rsidRPr="002A32C4" w:rsidRDefault="00567EF1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</w:tr>
      <w:tr w:rsidR="005A2FA0" w:rsidRPr="00151064" w:rsidTr="00F7511B">
        <w:tc>
          <w:tcPr>
            <w:tcW w:w="9571" w:type="dxa"/>
            <w:gridSpan w:val="2"/>
          </w:tcPr>
          <w:p w:rsidR="005A2FA0" w:rsidRDefault="00391683" w:rsidP="005A2FA0">
            <w:pPr>
              <w:pStyle w:val="Tabledate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391683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 wp14:anchorId="0F26675C" wp14:editId="7E1429EF">
                  <wp:extent cx="2952000" cy="1540800"/>
                  <wp:effectExtent l="0" t="0" r="1270" b="2540"/>
                  <wp:docPr id="14337" name="Диаграмма 143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D57BB2" w:rsidRPr="00151064" w:rsidRDefault="00D57BB2" w:rsidP="00D57BB2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                            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65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FA0" w:rsidRPr="00151064" w:rsidTr="00F7511B">
        <w:tc>
          <w:tcPr>
            <w:tcW w:w="9571" w:type="dxa"/>
            <w:gridSpan w:val="2"/>
          </w:tcPr>
          <w:p w:rsidR="005A2FA0" w:rsidRPr="004B2969" w:rsidRDefault="005A2FA0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по типу дома, руб./кв. м</w:t>
            </w:r>
          </w:p>
        </w:tc>
      </w:tr>
    </w:tbl>
    <w:p w:rsidR="00325A8C" w:rsidRPr="00151064" w:rsidRDefault="00325A8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1D596E" w:rsidRPr="00151064" w:rsidRDefault="004B0B09" w:rsidP="004B2969">
      <w:pPr>
        <w:pStyle w:val="2"/>
      </w:pPr>
      <w:r w:rsidRPr="00151064">
        <w:t>Цены по типу дома, руб./кв. м</w:t>
      </w:r>
    </w:p>
    <w:tbl>
      <w:tblPr>
        <w:tblW w:w="93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224"/>
        <w:gridCol w:w="1819"/>
        <w:gridCol w:w="2062"/>
      </w:tblGrid>
      <w:tr w:rsidR="00391683" w:rsidRPr="00151064" w:rsidTr="00B22964">
        <w:trPr>
          <w:trHeight w:val="527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Декабрь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Кирпич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105 011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104 351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-0.63%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Кирпич/монолит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109 966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114 665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4.27%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Новая панель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107 235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105 805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-1.33%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Старая панель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95 098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93 382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-1.80%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Сталинские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92 120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89 344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-3.01%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Старый фонд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108 393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111 444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2.81%</w:t>
            </w:r>
          </w:p>
        </w:tc>
      </w:tr>
      <w:tr w:rsidR="00391683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Старый фонд КР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99 888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102 913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3.03%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1D596E" w:rsidRPr="00151064" w:rsidSect="004B0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391683" w:rsidRPr="00391683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91683">
        <w:rPr>
          <w:rFonts w:ascii="Franklin Gothic Book" w:hAnsi="Franklin Gothic Book"/>
          <w:sz w:val="22"/>
          <w:szCs w:val="22"/>
        </w:rPr>
        <w:lastRenderedPageBreak/>
        <w:t xml:space="preserve">За прошедший 2015 год самый большой процент изменения средней цены предложения на вторичном рынке показали трехкомнатные квартиры в кирпично-монолитных домах. Изменение составило 11,9%. Самыми дорогими по стоимости квадратного метра по-прежнему являются однокомнатные квартиры в домах старого фонда с капитальным ремонтом – 124,4 тыс. руб. за кв. м (в среднем 5,3 млн руб. за квартиру), без капитального ремонта – 126,9 тыс. руб. за кв. м (в целом это 4,8 млн руб. за объект). Самыми дешевыми вариантами остаются трехкомнатные квартиры группы домов «старая панель»: на конец декабря 2015 года средняя цена предложения составила 82,6 тыс. руб. за кв. м (5,2 млн руб. за квартиру). </w:t>
      </w:r>
    </w:p>
    <w:p w:rsidR="00325A8C" w:rsidRPr="00151064" w:rsidRDefault="00325A8C" w:rsidP="00C93EE7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1D596E" w:rsidRPr="00151064" w:rsidRDefault="001D596E" w:rsidP="004B2969">
      <w:pPr>
        <w:pStyle w:val="2"/>
      </w:pPr>
      <w:r w:rsidRPr="00151064">
        <w:t>Цена по типу дома и типу квартир, руб./кв. м</w:t>
      </w: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Однокомнатные квартиры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1984"/>
        <w:gridCol w:w="2410"/>
      </w:tblGrid>
      <w:tr w:rsidR="000B291E" w:rsidRPr="00151064" w:rsidTr="00B22964">
        <w:trPr>
          <w:trHeight w:val="256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Тип дома 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391683" w:rsidRPr="00151064" w:rsidTr="00B22964">
        <w:trPr>
          <w:trHeight w:val="396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4 024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107 807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-2.8%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4 225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111 631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0.2%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4 171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108 002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-1.7%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3 695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99 971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-2.6%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4 630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118 575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-1.4%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3 385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101 036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-2.7%</w:t>
            </w:r>
          </w:p>
        </w:tc>
      </w:tr>
      <w:tr w:rsidR="00391683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4 794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126 869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4.7%</w:t>
            </w:r>
          </w:p>
        </w:tc>
      </w:tr>
    </w:tbl>
    <w:p w:rsidR="00E97A33" w:rsidRDefault="00E97A33" w:rsidP="001D596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Двухкомнатные квартиры</w:t>
      </w:r>
    </w:p>
    <w:tbl>
      <w:tblPr>
        <w:tblW w:w="93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1984"/>
        <w:gridCol w:w="2438"/>
      </w:tblGrid>
      <w:tr w:rsidR="000B291E" w:rsidRPr="00151064" w:rsidTr="00B22964">
        <w:trPr>
          <w:trHeight w:val="255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Тип дома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391683" w:rsidRPr="00151064" w:rsidTr="00B22964">
        <w:trPr>
          <w:trHeight w:val="395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5 581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101 363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-2.0%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7 481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111 808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3.9%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6 470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103 232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-6.8%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4 911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92 688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-3.1%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6 550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114 142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3.1%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4 188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87 926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-4.5%</w:t>
            </w:r>
          </w:p>
        </w:tc>
      </w:tr>
      <w:tr w:rsidR="00391683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107 733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1.0%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1D596E" w:rsidRPr="00151064" w:rsidSect="004B0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A33" w:rsidRDefault="00E97A33" w:rsidP="001D596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Трехкомнатные квартиры</w:t>
      </w:r>
    </w:p>
    <w:tbl>
      <w:tblPr>
        <w:tblW w:w="93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741"/>
        <w:gridCol w:w="1972"/>
        <w:gridCol w:w="2398"/>
      </w:tblGrid>
      <w:tr w:rsidR="000B291E" w:rsidRPr="00151064" w:rsidTr="00B22964">
        <w:trPr>
          <w:trHeight w:val="255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Тип дома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391683" w:rsidRPr="00151064" w:rsidTr="00B22964">
        <w:trPr>
          <w:trHeight w:val="396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8 257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102 694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12 078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120 473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11.9%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9 381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102 180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1.9%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6 321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88 028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-0.9%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8 560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105 939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-0.2%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5 152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82 573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-2.2%</w:t>
            </w:r>
          </w:p>
        </w:tc>
      </w:tr>
      <w:tr w:rsidR="00391683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151064" w:rsidRDefault="00391683" w:rsidP="00391683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8 524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99 915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1683" w:rsidRPr="00391683" w:rsidRDefault="00391683" w:rsidP="0039168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9168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1.1%</w:t>
            </w:r>
          </w:p>
        </w:tc>
      </w:tr>
    </w:tbl>
    <w:p w:rsidR="00E97A33" w:rsidRDefault="00E97A33" w:rsidP="00D57BB2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391683" w:rsidRPr="00326864" w:rsidRDefault="00391683" w:rsidP="0039168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26864">
        <w:rPr>
          <w:rFonts w:ascii="Franklin Gothic Book" w:hAnsi="Franklin Gothic Book"/>
          <w:sz w:val="22"/>
          <w:szCs w:val="22"/>
        </w:rPr>
        <w:t xml:space="preserve">Самое дорогое жилье предлагается в центральных районах города (Центральном, Петроградском, Василеостровском, Адмиралтейском и Московском). Средняя цена «квадрата» в этих районах в конце 2015 года – от 106 до 155,8 тыс. руб. Самые дешевые квартиры – в Красносельском и Невском районах Петербурга, метр жилья в них стоит в среднем от 81 тыс. руб., в зависимости от типа квартиры и типа дома. </w:t>
      </w:r>
    </w:p>
    <w:p w:rsidR="00E97A33" w:rsidRPr="003857DF" w:rsidRDefault="003857DF" w:rsidP="003857D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857DF">
        <w:rPr>
          <w:rFonts w:ascii="Franklin Gothic Book" w:hAnsi="Franklin Gothic Book"/>
          <w:sz w:val="22"/>
          <w:szCs w:val="22"/>
        </w:rPr>
        <w:t xml:space="preserve"> </w:t>
      </w:r>
    </w:p>
    <w:p w:rsidR="00F7511B" w:rsidRPr="00151064" w:rsidRDefault="00980714" w:rsidP="004B2969">
      <w:pPr>
        <w:pStyle w:val="2"/>
      </w:pPr>
      <w:r w:rsidRPr="00151064">
        <w:rPr>
          <w:sz w:val="28"/>
          <w:szCs w:val="28"/>
        </w:rPr>
        <w:lastRenderedPageBreak/>
        <w:t xml:space="preserve"> </w:t>
      </w:r>
      <w:r w:rsidR="00F7511B" w:rsidRPr="00151064">
        <w:t>Цена по району и типу квартир, руб./кв. м</w:t>
      </w:r>
    </w:p>
    <w:tbl>
      <w:tblPr>
        <w:tblW w:w="92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864"/>
        <w:gridCol w:w="993"/>
        <w:gridCol w:w="850"/>
        <w:gridCol w:w="679"/>
        <w:gridCol w:w="1022"/>
        <w:gridCol w:w="907"/>
        <w:gridCol w:w="989"/>
        <w:gridCol w:w="679"/>
      </w:tblGrid>
      <w:tr w:rsidR="004B0B09" w:rsidRPr="00151064" w:rsidTr="00B22964">
        <w:trPr>
          <w:trHeight w:val="188"/>
        </w:trPr>
        <w:tc>
          <w:tcPr>
            <w:tcW w:w="2276" w:type="dxa"/>
            <w:vMerge w:val="restart"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386" w:type="dxa"/>
            <w:gridSpan w:val="4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188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Однокомнатные квартиры </w:t>
            </w:r>
          </w:p>
        </w:tc>
        <w:tc>
          <w:tcPr>
            <w:tcW w:w="3597" w:type="dxa"/>
            <w:gridSpan w:val="4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188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Двухкомнатные квартиры </w:t>
            </w:r>
          </w:p>
        </w:tc>
      </w:tr>
      <w:tr w:rsidR="004B0B09" w:rsidRPr="00151064" w:rsidTr="00B22964">
        <w:trPr>
          <w:trHeight w:val="301"/>
        </w:trPr>
        <w:tc>
          <w:tcPr>
            <w:tcW w:w="2276" w:type="dxa"/>
            <w:vMerge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1529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29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1668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326864" w:rsidRPr="00151064" w:rsidTr="00B22964">
        <w:trPr>
          <w:trHeight w:val="305"/>
        </w:trPr>
        <w:tc>
          <w:tcPr>
            <w:tcW w:w="2276" w:type="dxa"/>
            <w:vMerge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993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850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67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102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907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98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67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125 414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131 833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6 419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5.1%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106 858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108 752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1 894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1.8%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132 752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127 215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-5 537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-4.2%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117 214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116 009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-1 205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107 338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105 300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-2 038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102 434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98 891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-3 543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-3.5%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108 755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103 695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-5 061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-4.7%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96 162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92 905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-3 258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107 874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104 240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-3 634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98 146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94 775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-3 370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103 540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100 015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-3 525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92 859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89 236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-3 623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97 484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96 101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-1 383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-1.4%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87 856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87 123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-733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-0.8%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120 011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114 025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-5 985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-5.0%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110 450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107 637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-2 812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-2.5%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99 530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100 554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1 023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1.0%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88 935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89 417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481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147 024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155 762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8 739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5.9%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131 513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139 787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8 273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6.3%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110 580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108 793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-1 787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-1.6%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105 845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103 538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-2 307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108 881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107 864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-1 016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95 654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92 172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-3 482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-3.6%</w:t>
            </w:r>
          </w:p>
        </w:tc>
      </w:tr>
      <w:tr w:rsidR="00326864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132 796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133 734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939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0.7%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121 349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122 484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1 135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0.9%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822"/>
        <w:gridCol w:w="1971"/>
        <w:gridCol w:w="1132"/>
        <w:gridCol w:w="1552"/>
      </w:tblGrid>
      <w:tr w:rsidR="004B0B09" w:rsidRPr="00151064" w:rsidTr="00B22964">
        <w:trPr>
          <w:trHeight w:val="233"/>
        </w:trPr>
        <w:tc>
          <w:tcPr>
            <w:tcW w:w="2811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477" w:type="dxa"/>
            <w:gridSpan w:val="4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Трехкомнатные квартиры </w:t>
            </w:r>
          </w:p>
        </w:tc>
      </w:tr>
      <w:tr w:rsidR="004B0B09" w:rsidRPr="00151064" w:rsidTr="00B22964">
        <w:trPr>
          <w:trHeight w:val="233"/>
        </w:trPr>
        <w:tc>
          <w:tcPr>
            <w:tcW w:w="2811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2684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Изме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нение за год</w:t>
            </w: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6864" w:rsidRPr="00151064" w:rsidTr="00B22964">
        <w:trPr>
          <w:trHeight w:val="233"/>
        </w:trPr>
        <w:tc>
          <w:tcPr>
            <w:tcW w:w="2811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971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113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55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</w:tr>
      <w:tr w:rsidR="00326864" w:rsidRPr="00151064" w:rsidTr="00B22964">
        <w:trPr>
          <w:trHeight w:val="316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6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99 753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105 970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6 217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6.2%</w:t>
            </w:r>
          </w:p>
        </w:tc>
      </w:tr>
      <w:tr w:rsidR="00326864" w:rsidRPr="00151064" w:rsidTr="00B22964">
        <w:trPr>
          <w:trHeight w:val="289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17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111 560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111 058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-502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-0.4%</w:t>
            </w:r>
          </w:p>
        </w:tc>
      </w:tr>
      <w:tr w:rsidR="00326864" w:rsidRPr="00151064" w:rsidTr="00B22964">
        <w:trPr>
          <w:trHeight w:val="352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96 941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97 397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456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0.5%</w:t>
            </w:r>
          </w:p>
        </w:tc>
      </w:tr>
      <w:tr w:rsidR="00326864" w:rsidRPr="00151064" w:rsidTr="00B22964">
        <w:trPr>
          <w:trHeight w:val="285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12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93 941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91 845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-2 096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-2.2%</w:t>
            </w:r>
          </w:p>
        </w:tc>
      </w:tr>
      <w:tr w:rsidR="00326864" w:rsidRPr="00151064" w:rsidTr="00B22964">
        <w:trPr>
          <w:trHeight w:val="336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90 824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88 204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-2 620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-2.9%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91 889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88 231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-3 657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-4.0%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80 144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80 951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807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1.0%</w:t>
            </w:r>
          </w:p>
        </w:tc>
      </w:tr>
      <w:tr w:rsidR="00326864" w:rsidRPr="00151064" w:rsidTr="00B22964">
        <w:trPr>
          <w:trHeight w:val="336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110 095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107 634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-2 462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83 438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84 479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1 041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1.2%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122 978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134 117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11 139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9.1%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97 690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100 913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3 224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3.3%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91 449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88 965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-2 484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-2.7%</w:t>
            </w:r>
          </w:p>
        </w:tc>
      </w:tr>
      <w:tr w:rsidR="00326864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151064" w:rsidRDefault="00326864" w:rsidP="00326864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115 260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117 362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2 102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864" w:rsidRPr="00326864" w:rsidRDefault="00326864" w:rsidP="0032686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86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1.8%</w:t>
            </w:r>
          </w:p>
        </w:tc>
      </w:tr>
    </w:tbl>
    <w:p w:rsidR="002F2DCE" w:rsidRPr="00151064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51064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bookmarkEnd w:id="0"/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323A7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1323A7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323A7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545E18" w:rsidRPr="001323A7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1C1E18" w:rsidRPr="001323A7" w:rsidRDefault="001C1E18" w:rsidP="001C1E18">
      <w:pPr>
        <w:spacing w:after="0"/>
        <w:rPr>
          <w:rFonts w:ascii="Franklin Gothic Book" w:hAnsi="Franklin Gothic Book"/>
        </w:rPr>
      </w:pPr>
      <w:proofErr w:type="spellStart"/>
      <w:r w:rsidRPr="001323A7">
        <w:rPr>
          <w:rFonts w:ascii="Franklin Gothic Book" w:hAnsi="Franklin Gothic Book"/>
        </w:rPr>
        <w:t>Бент</w:t>
      </w:r>
      <w:proofErr w:type="spellEnd"/>
      <w:r w:rsidRPr="001323A7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D0D26" w:rsidRPr="001323A7" w:rsidRDefault="007D0D26" w:rsidP="007D0D26">
      <w:pPr>
        <w:spacing w:after="0"/>
        <w:rPr>
          <w:rFonts w:ascii="Franklin Gothic Book" w:hAnsi="Franklin Gothic Book"/>
          <w:lang w:val="en-US"/>
        </w:rPr>
      </w:pPr>
      <w:r w:rsidRPr="001323A7">
        <w:rPr>
          <w:rFonts w:ascii="Franklin Gothic Book" w:hAnsi="Franklin Gothic Book"/>
        </w:rPr>
        <w:t>тел</w:t>
      </w:r>
      <w:r w:rsidRPr="001323A7">
        <w:rPr>
          <w:rFonts w:ascii="Franklin Gothic Book" w:hAnsi="Franklin Gothic Book"/>
          <w:lang w:val="en-US"/>
        </w:rPr>
        <w:t>. (812) 3</w:t>
      </w:r>
      <w:r w:rsidR="00F7511B" w:rsidRPr="001323A7">
        <w:rPr>
          <w:rFonts w:ascii="Franklin Gothic Book" w:hAnsi="Franklin Gothic Book"/>
          <w:lang w:val="en-US"/>
        </w:rPr>
        <w:t>25-0</w:t>
      </w:r>
      <w:r w:rsidRPr="001323A7">
        <w:rPr>
          <w:rFonts w:ascii="Franklin Gothic Book" w:hAnsi="Franklin Gothic Book"/>
          <w:lang w:val="en-US"/>
        </w:rPr>
        <w:t>6-</w:t>
      </w:r>
      <w:r w:rsidR="00F7511B" w:rsidRPr="001323A7">
        <w:rPr>
          <w:rFonts w:ascii="Franklin Gothic Book" w:hAnsi="Franklin Gothic Book"/>
          <w:lang w:val="en-US"/>
        </w:rPr>
        <w:t>81</w:t>
      </w:r>
      <w:r w:rsidRPr="001323A7">
        <w:rPr>
          <w:rFonts w:ascii="Franklin Gothic Book" w:hAnsi="Franklin Gothic Book"/>
          <w:lang w:val="en-US"/>
        </w:rPr>
        <w:t xml:space="preserve">, e-mail: </w:t>
      </w:r>
      <w:hyperlink r:id="rId25" w:history="1">
        <w:r w:rsidRPr="001323A7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1323A7">
        <w:rPr>
          <w:rFonts w:ascii="Franklin Gothic Book" w:hAnsi="Franklin Gothic Book"/>
          <w:lang w:val="en-US"/>
        </w:rPr>
        <w:t xml:space="preserve">, </w:t>
      </w:r>
      <w:bookmarkStart w:id="1" w:name="_GoBack"/>
      <w:bookmarkEnd w:id="1"/>
    </w:p>
    <w:p w:rsidR="00712178" w:rsidRPr="001323A7" w:rsidRDefault="007D0D26" w:rsidP="00C54E18">
      <w:pPr>
        <w:spacing w:after="0"/>
        <w:rPr>
          <w:rFonts w:ascii="Franklin Gothic Book" w:hAnsi="Franklin Gothic Book"/>
        </w:rPr>
      </w:pPr>
      <w:r w:rsidRPr="001323A7">
        <w:rPr>
          <w:rFonts w:ascii="Franklin Gothic Book" w:hAnsi="Franklin Gothic Book"/>
          <w:lang w:val="en-US"/>
        </w:rPr>
        <w:t>web-</w:t>
      </w:r>
      <w:r w:rsidRPr="001323A7">
        <w:rPr>
          <w:rFonts w:ascii="Franklin Gothic Book" w:hAnsi="Franklin Gothic Book"/>
        </w:rPr>
        <w:t>сайт</w:t>
      </w:r>
      <w:r w:rsidRPr="001323A7">
        <w:rPr>
          <w:rFonts w:ascii="Franklin Gothic Book" w:hAnsi="Franklin Gothic Book"/>
          <w:lang w:val="en-US"/>
        </w:rPr>
        <w:t>: www.bn.ru</w:t>
      </w:r>
    </w:p>
    <w:sectPr w:rsidR="00712178" w:rsidRPr="001323A7" w:rsidSect="00DE41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3336"/>
    <w:multiLevelType w:val="hybridMultilevel"/>
    <w:tmpl w:val="8DCAE39A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C5F025A6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5958ED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1F3A"/>
    <w:rsid w:val="00007906"/>
    <w:rsid w:val="00040C8D"/>
    <w:rsid w:val="00050779"/>
    <w:rsid w:val="0006299F"/>
    <w:rsid w:val="00064113"/>
    <w:rsid w:val="0007070E"/>
    <w:rsid w:val="00076A4F"/>
    <w:rsid w:val="000A19C2"/>
    <w:rsid w:val="000B11E9"/>
    <w:rsid w:val="000B291E"/>
    <w:rsid w:val="000B6FC0"/>
    <w:rsid w:val="000D5E40"/>
    <w:rsid w:val="000E4F1F"/>
    <w:rsid w:val="000F7A15"/>
    <w:rsid w:val="000F7F19"/>
    <w:rsid w:val="001323A7"/>
    <w:rsid w:val="00132741"/>
    <w:rsid w:val="00151064"/>
    <w:rsid w:val="00154521"/>
    <w:rsid w:val="00181368"/>
    <w:rsid w:val="001A1D82"/>
    <w:rsid w:val="001B3A5A"/>
    <w:rsid w:val="001C1E18"/>
    <w:rsid w:val="001D596E"/>
    <w:rsid w:val="001D6989"/>
    <w:rsid w:val="001F1900"/>
    <w:rsid w:val="00203CC8"/>
    <w:rsid w:val="00231E8B"/>
    <w:rsid w:val="00232568"/>
    <w:rsid w:val="0023769C"/>
    <w:rsid w:val="002431C8"/>
    <w:rsid w:val="00243E1E"/>
    <w:rsid w:val="00290895"/>
    <w:rsid w:val="002A32C4"/>
    <w:rsid w:val="002C01BC"/>
    <w:rsid w:val="002C7821"/>
    <w:rsid w:val="002E2BEB"/>
    <w:rsid w:val="002F2978"/>
    <w:rsid w:val="002F2DCE"/>
    <w:rsid w:val="00325A8C"/>
    <w:rsid w:val="00326864"/>
    <w:rsid w:val="00326EF7"/>
    <w:rsid w:val="003318EE"/>
    <w:rsid w:val="00343D06"/>
    <w:rsid w:val="00351B6A"/>
    <w:rsid w:val="00360014"/>
    <w:rsid w:val="00366F27"/>
    <w:rsid w:val="00373F44"/>
    <w:rsid w:val="003846EA"/>
    <w:rsid w:val="003857DF"/>
    <w:rsid w:val="00391683"/>
    <w:rsid w:val="00397490"/>
    <w:rsid w:val="003B5B77"/>
    <w:rsid w:val="003C04C4"/>
    <w:rsid w:val="003C195E"/>
    <w:rsid w:val="003C6DFE"/>
    <w:rsid w:val="003F76FA"/>
    <w:rsid w:val="003F7DDA"/>
    <w:rsid w:val="00405A49"/>
    <w:rsid w:val="00405F80"/>
    <w:rsid w:val="00407E43"/>
    <w:rsid w:val="00432F40"/>
    <w:rsid w:val="00461EEA"/>
    <w:rsid w:val="00485BF0"/>
    <w:rsid w:val="0049212B"/>
    <w:rsid w:val="004B0B09"/>
    <w:rsid w:val="004B2969"/>
    <w:rsid w:val="004E218A"/>
    <w:rsid w:val="004F06CE"/>
    <w:rsid w:val="00502FC0"/>
    <w:rsid w:val="0052257A"/>
    <w:rsid w:val="005309D0"/>
    <w:rsid w:val="00545E18"/>
    <w:rsid w:val="00567EF1"/>
    <w:rsid w:val="005719A7"/>
    <w:rsid w:val="00574889"/>
    <w:rsid w:val="00586A3E"/>
    <w:rsid w:val="005A2FA0"/>
    <w:rsid w:val="005A407A"/>
    <w:rsid w:val="005D5777"/>
    <w:rsid w:val="005E6A69"/>
    <w:rsid w:val="00614EE5"/>
    <w:rsid w:val="006219C4"/>
    <w:rsid w:val="00660596"/>
    <w:rsid w:val="00681162"/>
    <w:rsid w:val="006815E9"/>
    <w:rsid w:val="00682424"/>
    <w:rsid w:val="006A0942"/>
    <w:rsid w:val="006C3DC2"/>
    <w:rsid w:val="006D4B28"/>
    <w:rsid w:val="006F3551"/>
    <w:rsid w:val="00712178"/>
    <w:rsid w:val="00725980"/>
    <w:rsid w:val="007443F3"/>
    <w:rsid w:val="007738AB"/>
    <w:rsid w:val="007803A9"/>
    <w:rsid w:val="007D0D26"/>
    <w:rsid w:val="007D1019"/>
    <w:rsid w:val="007D4391"/>
    <w:rsid w:val="007D79E7"/>
    <w:rsid w:val="007E6BEC"/>
    <w:rsid w:val="00821608"/>
    <w:rsid w:val="00833513"/>
    <w:rsid w:val="00855863"/>
    <w:rsid w:val="00864D44"/>
    <w:rsid w:val="00866C05"/>
    <w:rsid w:val="008762A3"/>
    <w:rsid w:val="008766D0"/>
    <w:rsid w:val="00890DE6"/>
    <w:rsid w:val="00894196"/>
    <w:rsid w:val="008B7166"/>
    <w:rsid w:val="008C300F"/>
    <w:rsid w:val="008E57D8"/>
    <w:rsid w:val="00905C19"/>
    <w:rsid w:val="00940453"/>
    <w:rsid w:val="00954379"/>
    <w:rsid w:val="00980714"/>
    <w:rsid w:val="009863D9"/>
    <w:rsid w:val="0099256E"/>
    <w:rsid w:val="009E704D"/>
    <w:rsid w:val="009F6912"/>
    <w:rsid w:val="00A0382F"/>
    <w:rsid w:val="00A07585"/>
    <w:rsid w:val="00A07987"/>
    <w:rsid w:val="00A1007B"/>
    <w:rsid w:val="00A22903"/>
    <w:rsid w:val="00A2697E"/>
    <w:rsid w:val="00A72626"/>
    <w:rsid w:val="00A83D67"/>
    <w:rsid w:val="00A87E3B"/>
    <w:rsid w:val="00A97489"/>
    <w:rsid w:val="00AA1B5F"/>
    <w:rsid w:val="00AA798C"/>
    <w:rsid w:val="00AC0B4E"/>
    <w:rsid w:val="00AD2E03"/>
    <w:rsid w:val="00B0001A"/>
    <w:rsid w:val="00B02F40"/>
    <w:rsid w:val="00B22964"/>
    <w:rsid w:val="00B3172C"/>
    <w:rsid w:val="00B42116"/>
    <w:rsid w:val="00B508FC"/>
    <w:rsid w:val="00B6605C"/>
    <w:rsid w:val="00B7115D"/>
    <w:rsid w:val="00B87CE2"/>
    <w:rsid w:val="00BA2C57"/>
    <w:rsid w:val="00BA7C8E"/>
    <w:rsid w:val="00BB1B19"/>
    <w:rsid w:val="00BC6497"/>
    <w:rsid w:val="00BE1A99"/>
    <w:rsid w:val="00BF6025"/>
    <w:rsid w:val="00BF7E74"/>
    <w:rsid w:val="00C028E8"/>
    <w:rsid w:val="00C20E3D"/>
    <w:rsid w:val="00C3508B"/>
    <w:rsid w:val="00C479DF"/>
    <w:rsid w:val="00C54E18"/>
    <w:rsid w:val="00C574CF"/>
    <w:rsid w:val="00C70360"/>
    <w:rsid w:val="00C76F70"/>
    <w:rsid w:val="00C77A96"/>
    <w:rsid w:val="00C77F04"/>
    <w:rsid w:val="00C93EE7"/>
    <w:rsid w:val="00CA5B22"/>
    <w:rsid w:val="00CD5723"/>
    <w:rsid w:val="00CE0F1B"/>
    <w:rsid w:val="00CF49A2"/>
    <w:rsid w:val="00D32B50"/>
    <w:rsid w:val="00D50628"/>
    <w:rsid w:val="00D516B4"/>
    <w:rsid w:val="00D51E4A"/>
    <w:rsid w:val="00D57BB2"/>
    <w:rsid w:val="00D71B96"/>
    <w:rsid w:val="00D84C46"/>
    <w:rsid w:val="00D95823"/>
    <w:rsid w:val="00DA4EC9"/>
    <w:rsid w:val="00DC43F3"/>
    <w:rsid w:val="00DC585B"/>
    <w:rsid w:val="00DE3A39"/>
    <w:rsid w:val="00DE4078"/>
    <w:rsid w:val="00DE41DA"/>
    <w:rsid w:val="00DE4B92"/>
    <w:rsid w:val="00DE6C14"/>
    <w:rsid w:val="00E01586"/>
    <w:rsid w:val="00E06B77"/>
    <w:rsid w:val="00E07149"/>
    <w:rsid w:val="00E11116"/>
    <w:rsid w:val="00E13EAD"/>
    <w:rsid w:val="00E23604"/>
    <w:rsid w:val="00E3374F"/>
    <w:rsid w:val="00E45B1D"/>
    <w:rsid w:val="00E61CE2"/>
    <w:rsid w:val="00E73FD6"/>
    <w:rsid w:val="00E916A8"/>
    <w:rsid w:val="00E93F62"/>
    <w:rsid w:val="00E97A33"/>
    <w:rsid w:val="00ED129E"/>
    <w:rsid w:val="00EE6C86"/>
    <w:rsid w:val="00F15324"/>
    <w:rsid w:val="00F7511B"/>
    <w:rsid w:val="00F85EE0"/>
    <w:rsid w:val="00FB7563"/>
    <w:rsid w:val="00FC7D9A"/>
    <w:rsid w:val="00FD5CFD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AC5C931-EDC9-44AC-B35F-2E5C3FA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596E"/>
    <w:pPr>
      <w:ind w:left="720"/>
      <w:contextualSpacing/>
    </w:pPr>
  </w:style>
  <w:style w:type="paragraph" w:customStyle="1" w:styleId="2">
    <w:name w:val="Название таблицы 2К"/>
    <w:basedOn w:val="a"/>
    <w:autoRedefine/>
    <w:rsid w:val="004B2969"/>
    <w:pPr>
      <w:numPr>
        <w:numId w:val="1"/>
      </w:numPr>
      <w:spacing w:after="120" w:line="240" w:lineRule="auto"/>
    </w:pPr>
    <w:rPr>
      <w:rFonts w:ascii="Franklin Gothic Book" w:eastAsia="Times New Roman" w:hAnsi="Franklin Gothic Book"/>
      <w:b/>
    </w:rPr>
  </w:style>
  <w:style w:type="table" w:styleId="a8">
    <w:name w:val="Table Grid"/>
    <w:basedOn w:val="a1"/>
    <w:uiPriority w:val="59"/>
    <w:rsid w:val="00DE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image" Target="media/image1.jpeg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yperlink" Target="mailto:analitika@bn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9086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103023.49379157016</c:v>
                </c:pt>
                <c:pt idx="1">
                  <c:v>106177.21967939964</c:v>
                </c:pt>
                <c:pt idx="2">
                  <c:v>107147.14136412212</c:v>
                </c:pt>
                <c:pt idx="3">
                  <c:v>107270.75568293869</c:v>
                </c:pt>
                <c:pt idx="4">
                  <c:v>106565.58871312016</c:v>
                </c:pt>
                <c:pt idx="5">
                  <c:v>105677.44151315121</c:v>
                </c:pt>
                <c:pt idx="6">
                  <c:v>104475.86828269793</c:v>
                </c:pt>
                <c:pt idx="7">
                  <c:v>104707.61042250495</c:v>
                </c:pt>
                <c:pt idx="8">
                  <c:v>104149.49698152873</c:v>
                </c:pt>
                <c:pt idx="9">
                  <c:v>104047.97697960252</c:v>
                </c:pt>
                <c:pt idx="10">
                  <c:v>103969.98415964666</c:v>
                </c:pt>
                <c:pt idx="11">
                  <c:v>103186.99932364238</c:v>
                </c:pt>
                <c:pt idx="12">
                  <c:v>102951.52449771699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574944"/>
        <c:axId val="134575336"/>
      </c:lineChart>
      <c:dateAx>
        <c:axId val="13457494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34575336"/>
        <c:crossesAt val="100000"/>
        <c:auto val="1"/>
        <c:lblOffset val="100"/>
        <c:baseTimeUnit val="months"/>
        <c:majorUnit val="3"/>
        <c:majorTimeUnit val="months"/>
      </c:dateAx>
      <c:valAx>
        <c:axId val="134575336"/>
        <c:scaling>
          <c:orientation val="minMax"/>
          <c:min val="1013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34574944"/>
        <c:crosses val="autoZero"/>
        <c:crossBetween val="between"/>
        <c:majorUnit val="12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996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18"/>
          <c:y val="3.5452410049677092E-3"/>
          <c:w val="0.75214407756829926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&lt;55</c:v>
                </c:pt>
                <c:pt idx="1">
                  <c:v>55-70</c:v>
                </c:pt>
                <c:pt idx="2">
                  <c:v>70-85</c:v>
                </c:pt>
                <c:pt idx="3">
                  <c:v>85-100</c:v>
                </c:pt>
                <c:pt idx="4">
                  <c:v>100-115</c:v>
                </c:pt>
                <c:pt idx="5">
                  <c:v>&gt;115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4.2773645058448474E-2</c:v>
                </c:pt>
                <c:pt idx="1">
                  <c:v>0.3607863974495219</c:v>
                </c:pt>
                <c:pt idx="2">
                  <c:v>0.29038257173219989</c:v>
                </c:pt>
                <c:pt idx="3">
                  <c:v>0.16923485653560041</c:v>
                </c:pt>
                <c:pt idx="4">
                  <c:v>8.7407013815090334E-2</c:v>
                </c:pt>
                <c:pt idx="5">
                  <c:v>4.941551540913923E-2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49072"/>
        <c:axId val="222749856"/>
      </c:barChart>
      <c:catAx>
        <c:axId val="222749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22749856"/>
        <c:crosses val="autoZero"/>
        <c:auto val="1"/>
        <c:lblAlgn val="ctr"/>
        <c:lblOffset val="100"/>
        <c:noMultiLvlLbl val="0"/>
      </c:catAx>
      <c:valAx>
        <c:axId val="222749856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22749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26"/>
          <c:y val="3.5452410049677092E-3"/>
          <c:w val="0.75214407756829982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&lt;70</c:v>
                </c:pt>
                <c:pt idx="1">
                  <c:v>70-90</c:v>
                </c:pt>
                <c:pt idx="2">
                  <c:v>90-110</c:v>
                </c:pt>
                <c:pt idx="3">
                  <c:v>110-130</c:v>
                </c:pt>
                <c:pt idx="4">
                  <c:v>130-150</c:v>
                </c:pt>
                <c:pt idx="5">
                  <c:v>150-170</c:v>
                </c:pt>
                <c:pt idx="6">
                  <c:v>&gt;170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9.8872506504770197E-2</c:v>
                </c:pt>
                <c:pt idx="1">
                  <c:v>0.17606244579358196</c:v>
                </c:pt>
                <c:pt idx="2">
                  <c:v>0.18820468343451868</c:v>
                </c:pt>
                <c:pt idx="3">
                  <c:v>0.16999132697311364</c:v>
                </c:pt>
                <c:pt idx="4">
                  <c:v>0.11621856027753688</c:v>
                </c:pt>
                <c:pt idx="5">
                  <c:v>9.2801387684301795E-2</c:v>
                </c:pt>
                <c:pt idx="6">
                  <c:v>0.15784908933217698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753856"/>
        <c:axId val="223747704"/>
      </c:barChart>
      <c:catAx>
        <c:axId val="216753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23747704"/>
        <c:crosses val="autoZero"/>
        <c:auto val="1"/>
        <c:lblAlgn val="ctr"/>
        <c:lblOffset val="100"/>
        <c:noMultiLvlLbl val="0"/>
      </c:catAx>
      <c:valAx>
        <c:axId val="223747704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675385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38322416489"/>
          <c:y val="3.6711490226844275E-3"/>
          <c:w val="0.5429185071378273"/>
          <c:h val="0.859458618314702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Кирпич</c:v>
                </c:pt>
                <c:pt idx="1">
                  <c:v>Кирпич/монолит</c:v>
                </c:pt>
                <c:pt idx="2">
                  <c:v>Монолит</c:v>
                </c:pt>
                <c:pt idx="3">
                  <c:v>Новая панель</c:v>
                </c:pt>
                <c:pt idx="4">
                  <c:v>Сталинские</c:v>
                </c:pt>
                <c:pt idx="5">
                  <c:v>Старая панель</c:v>
                </c:pt>
                <c:pt idx="6">
                  <c:v>Старый фонд</c:v>
                </c:pt>
                <c:pt idx="7">
                  <c:v>Старый фонд КР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0.19772574250018704</c:v>
                </c:pt>
                <c:pt idx="1">
                  <c:v>0.20827410787760905</c:v>
                </c:pt>
                <c:pt idx="2">
                  <c:v>5.4911348844168484E-2</c:v>
                </c:pt>
                <c:pt idx="3">
                  <c:v>9.7179621455824039E-2</c:v>
                </c:pt>
                <c:pt idx="4">
                  <c:v>4.5335527792324387E-2</c:v>
                </c:pt>
                <c:pt idx="5">
                  <c:v>0.27440712201690726</c:v>
                </c:pt>
                <c:pt idx="6">
                  <c:v>5.8203037330739886E-2</c:v>
                </c:pt>
                <c:pt idx="7">
                  <c:v>6.3963492182239859E-2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08952"/>
        <c:axId val="105008560"/>
      </c:barChart>
      <c:catAx>
        <c:axId val="105008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5008560"/>
        <c:crosses val="autoZero"/>
        <c:auto val="1"/>
        <c:lblAlgn val="ctr"/>
        <c:lblOffset val="100"/>
        <c:noMultiLvlLbl val="0"/>
      </c:catAx>
      <c:valAx>
        <c:axId val="10500856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5008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15625653997102E-2"/>
          <c:y val="0.18847773527809294"/>
          <c:w val="0.90497470565286031"/>
          <c:h val="0.807812359473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-4.302168021680209E-2"/>
                  <c:y val="-0.1249421296296296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834688346883513E-2"/>
                  <c:y val="-1.46990740740740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0.31680400235432621</c:v>
                </c:pt>
                <c:pt idx="1">
                  <c:v>0.32158622719246632</c:v>
                </c:pt>
                <c:pt idx="2">
                  <c:v>0.27692760447321957</c:v>
                </c:pt>
                <c:pt idx="3">
                  <c:v>6.1359623307828133E-2</c:v>
                </c:pt>
                <c:pt idx="4">
                  <c:v>2.3322542672160093E-2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238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3.7737237016330749E-2</c:v>
                </c:pt>
                <c:pt idx="1">
                  <c:v>4.9139326173311772E-2</c:v>
                </c:pt>
                <c:pt idx="2">
                  <c:v>0.10445784905105193</c:v>
                </c:pt>
                <c:pt idx="3">
                  <c:v>9.5483301456524922E-2</c:v>
                </c:pt>
                <c:pt idx="4">
                  <c:v>5.8408121229954389E-2</c:v>
                </c:pt>
                <c:pt idx="5">
                  <c:v>6.4660879799911739E-2</c:v>
                </c:pt>
                <c:pt idx="6">
                  <c:v>8.5626011475651034E-2</c:v>
                </c:pt>
                <c:pt idx="7">
                  <c:v>8.1727232602618799E-2</c:v>
                </c:pt>
                <c:pt idx="8">
                  <c:v>0.11821391790495807</c:v>
                </c:pt>
                <c:pt idx="9">
                  <c:v>4.2003825217007497E-2</c:v>
                </c:pt>
                <c:pt idx="10">
                  <c:v>0.12122995439164339</c:v>
                </c:pt>
                <c:pt idx="11">
                  <c:v>6.3998823010151543E-2</c:v>
                </c:pt>
                <c:pt idx="12">
                  <c:v>7.7313520670884234E-2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240392"/>
        <c:axId val="213964160"/>
      </c:barChart>
      <c:catAx>
        <c:axId val="343240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96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96416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343240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109426.32040811118</c:v>
                </c:pt>
                <c:pt idx="1">
                  <c:v>113381.19404655576</c:v>
                </c:pt>
                <c:pt idx="2">
                  <c:v>114925.16641724418</c:v>
                </c:pt>
                <c:pt idx="3">
                  <c:v>114663.96190665575</c:v>
                </c:pt>
                <c:pt idx="4">
                  <c:v>113626.92041420189</c:v>
                </c:pt>
                <c:pt idx="5">
                  <c:v>112096.0016771743</c:v>
                </c:pt>
                <c:pt idx="6">
                  <c:v>110912.74633583798</c:v>
                </c:pt>
                <c:pt idx="7">
                  <c:v>110998.34682437987</c:v>
                </c:pt>
                <c:pt idx="8">
                  <c:v>110330.95509182687</c:v>
                </c:pt>
                <c:pt idx="9">
                  <c:v>110268.12308143415</c:v>
                </c:pt>
                <c:pt idx="10">
                  <c:v>109619.41576833937</c:v>
                </c:pt>
                <c:pt idx="11">
                  <c:v>108374.25795516586</c:v>
                </c:pt>
                <c:pt idx="12">
                  <c:v>107616.39228937009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102610.10804038758</c:v>
                </c:pt>
                <c:pt idx="1">
                  <c:v>106452.62598908313</c:v>
                </c:pt>
                <c:pt idx="2">
                  <c:v>107130.59288495925</c:v>
                </c:pt>
                <c:pt idx="3">
                  <c:v>106749.22054739755</c:v>
                </c:pt>
                <c:pt idx="4">
                  <c:v>105990.60040602523</c:v>
                </c:pt>
                <c:pt idx="5">
                  <c:v>104774.8842629938</c:v>
                </c:pt>
                <c:pt idx="6">
                  <c:v>103341.91596418229</c:v>
                </c:pt>
                <c:pt idx="7">
                  <c:v>102925.39203107169</c:v>
                </c:pt>
                <c:pt idx="8">
                  <c:v>102568.76107969141</c:v>
                </c:pt>
                <c:pt idx="9">
                  <c:v>102535.12345833916</c:v>
                </c:pt>
                <c:pt idx="10">
                  <c:v>101960.69064627498</c:v>
                </c:pt>
                <c:pt idx="11">
                  <c:v>101323.02327830916</c:v>
                </c:pt>
                <c:pt idx="12">
                  <c:v>100146.14971968878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98650.412521483464</c:v>
                </c:pt>
                <c:pt idx="1">
                  <c:v>101656.31188499782</c:v>
                </c:pt>
                <c:pt idx="2">
                  <c:v>102085.42805904076</c:v>
                </c:pt>
                <c:pt idx="3">
                  <c:v>102662.53163596676</c:v>
                </c:pt>
                <c:pt idx="4">
                  <c:v>101536.15268729684</c:v>
                </c:pt>
                <c:pt idx="5">
                  <c:v>101056.88769149398</c:v>
                </c:pt>
                <c:pt idx="6">
                  <c:v>99939.549340439364</c:v>
                </c:pt>
                <c:pt idx="7">
                  <c:v>100389.06595179279</c:v>
                </c:pt>
                <c:pt idx="8">
                  <c:v>99356.263659376607</c:v>
                </c:pt>
                <c:pt idx="9">
                  <c:v>99147.384515666228</c:v>
                </c:pt>
                <c:pt idx="10">
                  <c:v>99290.996874151548</c:v>
                </c:pt>
                <c:pt idx="11">
                  <c:v>98574.016792230628</c:v>
                </c:pt>
                <c:pt idx="12">
                  <c:v>98597.930838727727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5940560"/>
        <c:axId val="355940952"/>
      </c:lineChart>
      <c:dateAx>
        <c:axId val="35594056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355940952"/>
        <c:crossesAt val="95000"/>
        <c:auto val="1"/>
        <c:lblOffset val="100"/>
        <c:baseTimeUnit val="months"/>
        <c:majorUnit val="3"/>
        <c:majorTimeUnit val="months"/>
      </c:dateAx>
      <c:valAx>
        <c:axId val="355940952"/>
        <c:scaling>
          <c:orientation val="minMax"/>
          <c:max val="119000"/>
          <c:min val="95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355940560"/>
        <c:crosses val="autoZero"/>
        <c:crossBetween val="between"/>
        <c:majorUnit val="4000"/>
      </c:valAx>
      <c:spPr>
        <a:noFill/>
      </c:spPr>
    </c:plotArea>
    <c:legend>
      <c:legendPos val="r"/>
      <c:layout>
        <c:manualLayout>
          <c:xMode val="edge"/>
          <c:yMode val="edge"/>
          <c:x val="0.39040074525745272"/>
          <c:y val="2.3753486750348666E-2"/>
          <c:w val="0.53498069105691048"/>
          <c:h val="0.12711413296141333"/>
        </c:manualLayout>
      </c:layout>
      <c:overlay val="0"/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4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3365620874166437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105011.19061061591</c:v>
                </c:pt>
                <c:pt idx="1">
                  <c:v>108268.79840063663</c:v>
                </c:pt>
                <c:pt idx="2">
                  <c:v>109803.50950415152</c:v>
                </c:pt>
                <c:pt idx="3">
                  <c:v>109914.85381588458</c:v>
                </c:pt>
                <c:pt idx="4">
                  <c:v>109500.78851438597</c:v>
                </c:pt>
                <c:pt idx="5">
                  <c:v>108965.6210376154</c:v>
                </c:pt>
                <c:pt idx="6">
                  <c:v>106897.31293581656</c:v>
                </c:pt>
                <c:pt idx="7">
                  <c:v>107384.95760922445</c:v>
                </c:pt>
                <c:pt idx="8">
                  <c:v>106985.12078563024</c:v>
                </c:pt>
                <c:pt idx="9">
                  <c:v>106859.57195555014</c:v>
                </c:pt>
                <c:pt idx="10">
                  <c:v>106488.16550567401</c:v>
                </c:pt>
                <c:pt idx="11">
                  <c:v>105348.50465932851</c:v>
                </c:pt>
                <c:pt idx="12">
                  <c:v>104351.03449242322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109966.43392929737</c:v>
                </c:pt>
                <c:pt idx="1">
                  <c:v>114431.99893208611</c:v>
                </c:pt>
                <c:pt idx="2">
                  <c:v>113871.10515171314</c:v>
                </c:pt>
                <c:pt idx="3">
                  <c:v>114019.45914371948</c:v>
                </c:pt>
                <c:pt idx="4">
                  <c:v>113727.05940766814</c:v>
                </c:pt>
                <c:pt idx="5">
                  <c:v>113106.16402128698</c:v>
                </c:pt>
                <c:pt idx="6">
                  <c:v>112735.27035580597</c:v>
                </c:pt>
                <c:pt idx="7">
                  <c:v>113783.815418753</c:v>
                </c:pt>
                <c:pt idx="8">
                  <c:v>114323.26541974198</c:v>
                </c:pt>
                <c:pt idx="9">
                  <c:v>114658.511557905</c:v>
                </c:pt>
                <c:pt idx="10">
                  <c:v>116105.49900289398</c:v>
                </c:pt>
                <c:pt idx="11">
                  <c:v>115863.3225036791</c:v>
                </c:pt>
                <c:pt idx="12">
                  <c:v>114664.50946200138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202672"/>
        <c:axId val="213816272"/>
      </c:lineChart>
      <c:dateAx>
        <c:axId val="21520267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3816272"/>
        <c:crossesAt val="99000"/>
        <c:auto val="1"/>
        <c:lblOffset val="100"/>
        <c:baseTimeUnit val="months"/>
        <c:majorUnit val="3"/>
        <c:majorTimeUnit val="months"/>
      </c:dateAx>
      <c:valAx>
        <c:axId val="213816272"/>
        <c:scaling>
          <c:orientation val="minMax"/>
          <c:max val="120000"/>
          <c:min val="99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5202672"/>
        <c:crosses val="autoZero"/>
        <c:crossBetween val="between"/>
        <c:majorUnit val="3500"/>
      </c:valAx>
      <c:spPr>
        <a:noFill/>
      </c:spPr>
    </c:plotArea>
    <c:legend>
      <c:legendPos val="r"/>
      <c:layout>
        <c:manualLayout>
          <c:xMode val="edge"/>
          <c:yMode val="edge"/>
          <c:x val="0.18993902439024449"/>
          <c:y val="1.5621754932502686E-3"/>
          <c:w val="0.44135196476964927"/>
          <c:h val="0.23283943406022925"/>
        </c:manualLayout>
      </c:layout>
      <c:overlay val="0"/>
      <c:spPr>
        <a:noFill/>
      </c:spPr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996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25992327882092"/>
          <c:y val="4.8877597715115323E-2"/>
          <c:w val="0.73581617546370814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Сталинские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108393.46869087871</c:v>
                </c:pt>
                <c:pt idx="1">
                  <c:v>109296.808464954</c:v>
                </c:pt>
                <c:pt idx="2">
                  <c:v>111914.56394226979</c:v>
                </c:pt>
                <c:pt idx="3">
                  <c:v>112618.1824720108</c:v>
                </c:pt>
                <c:pt idx="4">
                  <c:v>113617.00973644042</c:v>
                </c:pt>
                <c:pt idx="5">
                  <c:v>112600.93970011499</c:v>
                </c:pt>
                <c:pt idx="6">
                  <c:v>111976.9176882578</c:v>
                </c:pt>
                <c:pt idx="7">
                  <c:v>111549.61599549517</c:v>
                </c:pt>
                <c:pt idx="8">
                  <c:v>111118.12467398043</c:v>
                </c:pt>
                <c:pt idx="9">
                  <c:v>111429.27721858327</c:v>
                </c:pt>
                <c:pt idx="10">
                  <c:v>111048.80340372128</c:v>
                </c:pt>
                <c:pt idx="11">
                  <c:v>111505.16964384679</c:v>
                </c:pt>
                <c:pt idx="12">
                  <c:v>111443.87846222926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Старый фонд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99888.075427391406</c:v>
                </c:pt>
                <c:pt idx="1">
                  <c:v>101321.55184475495</c:v>
                </c:pt>
                <c:pt idx="2">
                  <c:v>102243.6689581313</c:v>
                </c:pt>
                <c:pt idx="3">
                  <c:v>103514.97300048413</c:v>
                </c:pt>
                <c:pt idx="4">
                  <c:v>103723.74011556615</c:v>
                </c:pt>
                <c:pt idx="5">
                  <c:v>101990.21263898499</c:v>
                </c:pt>
                <c:pt idx="6">
                  <c:v>100844.65670397766</c:v>
                </c:pt>
                <c:pt idx="7">
                  <c:v>101684.8326582469</c:v>
                </c:pt>
                <c:pt idx="8">
                  <c:v>102371.6403356317</c:v>
                </c:pt>
                <c:pt idx="9">
                  <c:v>101656.3543931743</c:v>
                </c:pt>
                <c:pt idx="10">
                  <c:v>103231.36999347135</c:v>
                </c:pt>
                <c:pt idx="11">
                  <c:v>104301.74273757573</c:v>
                </c:pt>
                <c:pt idx="12">
                  <c:v>102913.22358575434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Старый фонд КР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110526.97748347449</c:v>
                </c:pt>
                <c:pt idx="1">
                  <c:v>111389.4481646271</c:v>
                </c:pt>
                <c:pt idx="2">
                  <c:v>112419.25254471014</c:v>
                </c:pt>
                <c:pt idx="3">
                  <c:v>110959.30615518343</c:v>
                </c:pt>
                <c:pt idx="4">
                  <c:v>111947.76364097781</c:v>
                </c:pt>
                <c:pt idx="5">
                  <c:v>112399.57333013578</c:v>
                </c:pt>
                <c:pt idx="6">
                  <c:v>111047.0016983924</c:v>
                </c:pt>
                <c:pt idx="7">
                  <c:v>112382.89962353451</c:v>
                </c:pt>
                <c:pt idx="8">
                  <c:v>112547.10117100991</c:v>
                </c:pt>
                <c:pt idx="9">
                  <c:v>113028.41646924807</c:v>
                </c:pt>
                <c:pt idx="10">
                  <c:v>113587.99925957381</c:v>
                </c:pt>
                <c:pt idx="11">
                  <c:v>111819.09771573269</c:v>
                </c:pt>
                <c:pt idx="12">
                  <c:v>110720.55734651508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814704"/>
        <c:axId val="213817448"/>
      </c:lineChart>
      <c:dateAx>
        <c:axId val="21381470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3817448"/>
        <c:crossesAt val="97000"/>
        <c:auto val="1"/>
        <c:lblOffset val="100"/>
        <c:baseTimeUnit val="months"/>
        <c:majorUnit val="3"/>
        <c:majorTimeUnit val="months"/>
      </c:dateAx>
      <c:valAx>
        <c:axId val="213817448"/>
        <c:scaling>
          <c:orientation val="minMax"/>
          <c:max val="121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3814704"/>
        <c:crosses val="autoZero"/>
        <c:crossBetween val="between"/>
        <c:majorUnit val="4000"/>
      </c:valAx>
      <c:spPr>
        <a:noFill/>
      </c:spPr>
    </c:plotArea>
    <c:legend>
      <c:legendPos val="r"/>
      <c:layout>
        <c:manualLayout>
          <c:xMode val="edge"/>
          <c:yMode val="edge"/>
          <c:x val="0.19324898373983806"/>
          <c:y val="0"/>
          <c:w val="0.46257757452574538"/>
          <c:h val="0.23628764278297043"/>
        </c:manualLayout>
      </c:layout>
      <c:overlay val="0"/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6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271589005987"/>
          <c:y val="4.4490350470897021E-2"/>
          <c:w val="0.73581617546370814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Новая панель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95097.716601011227</c:v>
                </c:pt>
                <c:pt idx="1">
                  <c:v>97670.965781747262</c:v>
                </c:pt>
                <c:pt idx="2">
                  <c:v>99784.508935344609</c:v>
                </c:pt>
                <c:pt idx="3">
                  <c:v>100889.62919903621</c:v>
                </c:pt>
                <c:pt idx="4">
                  <c:v>100126.89196514143</c:v>
                </c:pt>
                <c:pt idx="5">
                  <c:v>98859.834634865183</c:v>
                </c:pt>
                <c:pt idx="6">
                  <c:v>97743.645247111446</c:v>
                </c:pt>
                <c:pt idx="7">
                  <c:v>97247.31944614333</c:v>
                </c:pt>
                <c:pt idx="8">
                  <c:v>96216.718961309016</c:v>
                </c:pt>
                <c:pt idx="9">
                  <c:v>95914.698608979146</c:v>
                </c:pt>
                <c:pt idx="10">
                  <c:v>95466.662449581214</c:v>
                </c:pt>
                <c:pt idx="11">
                  <c:v>94297.331477791464</c:v>
                </c:pt>
                <c:pt idx="12">
                  <c:v>93381.570984332022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Старая панель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92120.006614481026</c:v>
                </c:pt>
                <c:pt idx="1">
                  <c:v>94464.447727580089</c:v>
                </c:pt>
                <c:pt idx="2">
                  <c:v>95861.69463239843</c:v>
                </c:pt>
                <c:pt idx="3">
                  <c:v>95900.342063848322</c:v>
                </c:pt>
                <c:pt idx="4">
                  <c:v>96359.95571098548</c:v>
                </c:pt>
                <c:pt idx="5">
                  <c:v>94991.390119198753</c:v>
                </c:pt>
                <c:pt idx="6">
                  <c:v>94030.475247286478</c:v>
                </c:pt>
                <c:pt idx="7">
                  <c:v>93159.864828053775</c:v>
                </c:pt>
                <c:pt idx="8">
                  <c:v>92316.525510533815</c:v>
                </c:pt>
                <c:pt idx="9">
                  <c:v>91975.832498380172</c:v>
                </c:pt>
                <c:pt idx="10">
                  <c:v>91228.49589245567</c:v>
                </c:pt>
                <c:pt idx="11">
                  <c:v>90348.040466383813</c:v>
                </c:pt>
                <c:pt idx="12">
                  <c:v>89343.511004314874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250840"/>
        <c:axId val="258247312"/>
      </c:lineChart>
      <c:dateAx>
        <c:axId val="25825084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58247312"/>
        <c:crossesAt val="88000"/>
        <c:auto val="1"/>
        <c:lblOffset val="100"/>
        <c:baseTimeUnit val="months"/>
        <c:majorUnit val="3"/>
        <c:majorTimeUnit val="months"/>
      </c:dateAx>
      <c:valAx>
        <c:axId val="258247312"/>
        <c:scaling>
          <c:orientation val="minMax"/>
          <c:max val="106000"/>
          <c:min val="88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58250840"/>
        <c:crosses val="autoZero"/>
        <c:crossBetween val="between"/>
        <c:majorUnit val="3000"/>
        <c:minorUnit val="100"/>
      </c:valAx>
      <c:spPr>
        <a:noFill/>
      </c:spPr>
    </c:plotArea>
    <c:legend>
      <c:legendPos val="r"/>
      <c:layout>
        <c:manualLayout>
          <c:xMode val="edge"/>
          <c:yMode val="edge"/>
          <c:x val="0.19237330623306217"/>
          <c:y val="0"/>
          <c:w val="0.43703624661246632"/>
          <c:h val="0.23494872793354102"/>
        </c:manualLayout>
      </c:layout>
      <c:overlay val="0"/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4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388"/>
          <c:y val="4.32379735584935E-2"/>
          <c:w val="0.82324679973830051"/>
          <c:h val="0.82321709786275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1.0690547619542471E-2</c:v>
                </c:pt>
                <c:pt idx="1">
                  <c:v>3.0611715558878989E-2</c:v>
                </c:pt>
                <c:pt idx="2">
                  <c:v>9.1349320282743136E-3</c:v>
                </c:pt>
                <c:pt idx="3">
                  <c:v>1.153687510863977E-3</c:v>
                </c:pt>
                <c:pt idx="4">
                  <c:v>-6.573711216342871E-3</c:v>
                </c:pt>
                <c:pt idx="5">
                  <c:v>-8.3342776096314557E-3</c:v>
                </c:pt>
                <c:pt idx="6">
                  <c:v>-1.1370196072581272E-2</c:v>
                </c:pt>
                <c:pt idx="7">
                  <c:v>2.2181403573495748E-3</c:v>
                </c:pt>
                <c:pt idx="8">
                  <c:v>-5.3302089382436533E-3</c:v>
                </c:pt>
                <c:pt idx="9">
                  <c:v>-9.7475268598012964E-4</c:v>
                </c:pt>
                <c:pt idx="10">
                  <c:v>-7.4958516465117875E-4</c:v>
                </c:pt>
                <c:pt idx="11">
                  <c:v>-7.5308738606904013E-3</c:v>
                </c:pt>
                <c:pt idx="12">
                  <c:v>-2.2820202881065356E-3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600896"/>
        <c:axId val="264600504"/>
      </c:barChart>
      <c:dateAx>
        <c:axId val="26460089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64600504"/>
        <c:crossesAt val="0"/>
        <c:auto val="1"/>
        <c:lblOffset val="100"/>
        <c:baseTimeUnit val="months"/>
        <c:majorUnit val="3"/>
        <c:majorTimeUnit val="months"/>
      </c:dateAx>
      <c:valAx>
        <c:axId val="264600504"/>
        <c:scaling>
          <c:orientation val="minMax"/>
          <c:max val="4.0000000000000015E-2"/>
          <c:min val="-2.0000000000000007E-2"/>
        </c:scaling>
        <c:delete val="0"/>
        <c:axPos val="l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64600896"/>
        <c:crosses val="autoZero"/>
        <c:crossBetween val="between"/>
        <c:majorUnit val="1.0000000000000004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705952253641"/>
          <c:y val="6.2548571133922114E-3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&lt;75</c:v>
                </c:pt>
                <c:pt idx="1">
                  <c:v>75-85</c:v>
                </c:pt>
                <c:pt idx="2">
                  <c:v>85-95</c:v>
                </c:pt>
                <c:pt idx="3">
                  <c:v>95-105</c:v>
                </c:pt>
                <c:pt idx="4">
                  <c:v>105-115</c:v>
                </c:pt>
                <c:pt idx="5">
                  <c:v>115-125</c:v>
                </c:pt>
                <c:pt idx="6">
                  <c:v>125-135</c:v>
                </c:pt>
                <c:pt idx="7">
                  <c:v>135-145</c:v>
                </c:pt>
                <c:pt idx="8">
                  <c:v>&gt;145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7.2826246873620729E-2</c:v>
                </c:pt>
                <c:pt idx="1">
                  <c:v>0.16448433132264237</c:v>
                </c:pt>
                <c:pt idx="2">
                  <c:v>0.21428571428571427</c:v>
                </c:pt>
                <c:pt idx="3">
                  <c:v>0.19972046491099016</c:v>
                </c:pt>
                <c:pt idx="4">
                  <c:v>0.13366190966602914</c:v>
                </c:pt>
                <c:pt idx="5">
                  <c:v>8.2609974988965704E-2</c:v>
                </c:pt>
                <c:pt idx="6">
                  <c:v>4.9727821097543055E-2</c:v>
                </c:pt>
                <c:pt idx="7">
                  <c:v>2.7512137707812277E-2</c:v>
                </c:pt>
                <c:pt idx="8">
                  <c:v>5.5171399146682364E-2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905944"/>
        <c:axId val="223752704"/>
      </c:barChart>
      <c:catAx>
        <c:axId val="209905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23752704"/>
        <c:crosses val="autoZero"/>
        <c:auto val="1"/>
        <c:lblAlgn val="ctr"/>
        <c:lblOffset val="100"/>
        <c:noMultiLvlLbl val="0"/>
      </c:catAx>
      <c:valAx>
        <c:axId val="22375270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99059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 formatCode="General">
                  <c:v>16204</c:v>
                </c:pt>
                <c:pt idx="1">
                  <c:v>12001</c:v>
                </c:pt>
                <c:pt idx="2">
                  <c:v>12595</c:v>
                </c:pt>
                <c:pt idx="3" formatCode="General">
                  <c:v>13620</c:v>
                </c:pt>
                <c:pt idx="4" formatCode="General">
                  <c:v>15716</c:v>
                </c:pt>
                <c:pt idx="5" formatCode="General">
                  <c:v>14608</c:v>
                </c:pt>
                <c:pt idx="6" formatCode="General">
                  <c:v>14723</c:v>
                </c:pt>
                <c:pt idx="7" formatCode="General">
                  <c:v>14242</c:v>
                </c:pt>
                <c:pt idx="8" formatCode="General">
                  <c:v>13922</c:v>
                </c:pt>
                <c:pt idx="9" formatCode="General">
                  <c:v>15440</c:v>
                </c:pt>
                <c:pt idx="10" formatCode="General">
                  <c:v>15584</c:v>
                </c:pt>
                <c:pt idx="11" formatCode="General">
                  <c:v>15200</c:v>
                </c:pt>
                <c:pt idx="12" formatCode="General">
                  <c:v>13594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52776"/>
        <c:axId val="214184416"/>
      </c:barChart>
      <c:dateAx>
        <c:axId val="214252776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4184416"/>
        <c:crossesAt val="0"/>
        <c:auto val="1"/>
        <c:lblOffset val="100"/>
        <c:baseTimeUnit val="months"/>
      </c:dateAx>
      <c:valAx>
        <c:axId val="214184416"/>
        <c:scaling>
          <c:orientation val="minMax"/>
          <c:max val="18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4252776"/>
        <c:crosses val="autoZero"/>
        <c:crossBetween val="between"/>
        <c:majorUnit val="3000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6257507852073E-2"/>
          <c:y val="3.125355198368799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41.586607522681533</c:v>
                </c:pt>
                <c:pt idx="1">
                  <c:v>44.945699284355186</c:v>
                </c:pt>
                <c:pt idx="2">
                  <c:v>48.753843548535002</c:v>
                </c:pt>
                <c:pt idx="3">
                  <c:v>42.366014647217092</c:v>
                </c:pt>
                <c:pt idx="4">
                  <c:v>36.949999999999996</c:v>
                </c:pt>
                <c:pt idx="5">
                  <c:v>34.05837473550018</c:v>
                </c:pt>
                <c:pt idx="6">
                  <c:v>40.164667711733188</c:v>
                </c:pt>
                <c:pt idx="7">
                  <c:v>40.656370099506901</c:v>
                </c:pt>
                <c:pt idx="8">
                  <c:v>47.675752013232859</c:v>
                </c:pt>
                <c:pt idx="9">
                  <c:v>51.711086922475914</c:v>
                </c:pt>
                <c:pt idx="10">
                  <c:v>51.861091338665787</c:v>
                </c:pt>
                <c:pt idx="11">
                  <c:v>46.734663309951188</c:v>
                </c:pt>
                <c:pt idx="12">
                  <c:v>46.385145552683142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31072"/>
        <c:axId val="209129896"/>
      </c:barChart>
      <c:dateAx>
        <c:axId val="209131072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9129896"/>
        <c:crosses val="autoZero"/>
        <c:auto val="1"/>
        <c:lblOffset val="100"/>
        <c:baseTimeUnit val="months"/>
      </c:dateAx>
      <c:valAx>
        <c:axId val="20912989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913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4973237405725"/>
          <c:y val="3.5452410049677092E-3"/>
          <c:w val="0.82884592446080685"/>
          <c:h val="0.83657437533395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135.68305408757914</c:v>
                </c:pt>
                <c:pt idx="1">
                  <c:v>254.40656240601501</c:v>
                </c:pt>
                <c:pt idx="2">
                  <c:v>346.99404089905204</c:v>
                </c:pt>
                <c:pt idx="3">
                  <c:v>112.32539999999996</c:v>
                </c:pt>
                <c:pt idx="4">
                  <c:v>75.731750000000005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677712"/>
        <c:axId val="269676536"/>
      </c:barChart>
      <c:catAx>
        <c:axId val="26967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9676536"/>
        <c:crosses val="autoZero"/>
        <c:auto val="1"/>
        <c:lblAlgn val="ctr"/>
        <c:lblOffset val="100"/>
        <c:noMultiLvlLbl val="0"/>
      </c:catAx>
      <c:valAx>
        <c:axId val="269676536"/>
        <c:scaling>
          <c:orientation val="minMax"/>
          <c:max val="5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9677712"/>
        <c:crosses val="autoZero"/>
        <c:crossBetween val="between"/>
        <c:majorUnit val="100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4973237405725"/>
          <c:y val="3.5452410049677092E-3"/>
          <c:w val="0.82884592446080718"/>
          <c:h val="0.83657437533395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157.26492996110161</c:v>
                </c:pt>
                <c:pt idx="1">
                  <c:v>241.34204159451662</c:v>
                </c:pt>
                <c:pt idx="2">
                  <c:v>292.75108809523812</c:v>
                </c:pt>
                <c:pt idx="3">
                  <c:v>88.241216666666688</c:v>
                </c:pt>
                <c:pt idx="4">
                  <c:v>54.953166666666647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6512"/>
        <c:axId val="134575728"/>
      </c:barChart>
      <c:catAx>
        <c:axId val="1345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4575728"/>
        <c:crosses val="autoZero"/>
        <c:auto val="1"/>
        <c:lblAlgn val="ctr"/>
        <c:lblOffset val="100"/>
        <c:noMultiLvlLbl val="0"/>
      </c:catAx>
      <c:valAx>
        <c:axId val="134575728"/>
        <c:scaling>
          <c:orientation val="minMax"/>
          <c:max val="5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4576512"/>
        <c:crosses val="autoZero"/>
        <c:crossBetween val="between"/>
        <c:majorUnit val="100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09"/>
          <c:y val="3.5452410049677092E-3"/>
          <c:w val="0.75214407756829882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&lt;27</c:v>
                </c:pt>
                <c:pt idx="1">
                  <c:v>27-32</c:v>
                </c:pt>
                <c:pt idx="2">
                  <c:v>32-37</c:v>
                </c:pt>
                <c:pt idx="3">
                  <c:v>37-42</c:v>
                </c:pt>
                <c:pt idx="4">
                  <c:v>42-47</c:v>
                </c:pt>
                <c:pt idx="5">
                  <c:v>&gt;47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5.1323734324198809E-2</c:v>
                </c:pt>
                <c:pt idx="1">
                  <c:v>0.2299117510450534</c:v>
                </c:pt>
                <c:pt idx="2">
                  <c:v>0.26288899210404099</c:v>
                </c:pt>
                <c:pt idx="3">
                  <c:v>0.24849047840222951</c:v>
                </c:pt>
                <c:pt idx="4">
                  <c:v>0.14723641430562012</c:v>
                </c:pt>
                <c:pt idx="5">
                  <c:v>6.0148629818857414E-2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246616"/>
        <c:axId val="264247008"/>
      </c:barChart>
      <c:catAx>
        <c:axId val="264246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4247008"/>
        <c:crosses val="autoZero"/>
        <c:auto val="1"/>
        <c:lblAlgn val="ctr"/>
        <c:lblOffset val="100"/>
        <c:noMultiLvlLbl val="0"/>
      </c:catAx>
      <c:valAx>
        <c:axId val="264247008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4246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18"/>
          <c:y val="3.5452410049677092E-3"/>
          <c:w val="0.75214407756829926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40-49</c:v>
                </c:pt>
                <c:pt idx="2">
                  <c:v>50-59</c:v>
                </c:pt>
                <c:pt idx="3">
                  <c:v>60-69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1.0981468771448181E-2</c:v>
                </c:pt>
                <c:pt idx="1">
                  <c:v>0.37565774422328985</c:v>
                </c:pt>
                <c:pt idx="2">
                  <c:v>0.33104552733928172</c:v>
                </c:pt>
                <c:pt idx="3">
                  <c:v>0.16060398078242971</c:v>
                </c:pt>
                <c:pt idx="4">
                  <c:v>7.8471745595973447E-2</c:v>
                </c:pt>
                <c:pt idx="5">
                  <c:v>4.3239533287577216E-2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822592"/>
        <c:axId val="260934336"/>
      </c:barChart>
      <c:catAx>
        <c:axId val="261822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0934336"/>
        <c:crosses val="autoZero"/>
        <c:auto val="1"/>
        <c:lblAlgn val="ctr"/>
        <c:lblOffset val="100"/>
        <c:noMultiLvlLbl val="0"/>
      </c:catAx>
      <c:valAx>
        <c:axId val="26093433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18225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0.56104</cdr:x>
      <cdr:y>0</cdr:y>
    </cdr:from>
    <cdr:to>
      <cdr:x>1</cdr:x>
      <cdr:y>0.17999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184" y="0"/>
          <a:ext cx="1295816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>
            <a:defRPr/>
          </a:pPr>
          <a:r>
            <a:rPr lang="ru-RU" sz="1000" b="1" dirty="0" smtClean="0">
              <a:latin typeface="+mj-lt"/>
              <a:cs typeface="Times New Roman" pitchFamily="18" charset="0"/>
            </a:rPr>
            <a:t> </a:t>
          </a:r>
          <a:r>
            <a:rPr lang="ru-RU" sz="800" b="1" dirty="0" smtClean="0">
              <a:latin typeface="PT Sans"/>
              <a:cs typeface="Times New Roman" pitchFamily="18" charset="0"/>
            </a:rPr>
            <a:t>декабрь 2015 </a:t>
          </a:r>
          <a:r>
            <a:rPr lang="ru-RU" sz="800" b="1" dirty="0">
              <a:latin typeface="PT Sans"/>
              <a:cs typeface="Times New Roman" pitchFamily="18" charset="0"/>
            </a:rPr>
            <a:t>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9EA8-6C5B-401A-9879-65744FF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10132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Некрасова Галина Вячеславовна</cp:lastModifiedBy>
  <cp:revision>93</cp:revision>
  <dcterms:created xsi:type="dcterms:W3CDTF">2012-07-31T08:34:00Z</dcterms:created>
  <dcterms:modified xsi:type="dcterms:W3CDTF">2016-01-12T07:03:00Z</dcterms:modified>
</cp:coreProperties>
</file>