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jpeg" ContentType="image/jpeg"/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CE" w:rsidRPr="00E86AF0" w:rsidRDefault="004F06CE" w:rsidP="002F2DCE">
      <w:pPr>
        <w:rPr>
          <w:rFonts w:ascii="Franklin Gothic Book" w:hAnsi="Franklin Gothic Book"/>
          <w:b/>
          <w:bCs/>
          <w:color w:val="333333"/>
          <w:sz w:val="28"/>
          <w:szCs w:val="28"/>
        </w:rPr>
      </w:pPr>
      <w:r w:rsidRPr="00E86AF0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Общие тенденции на </w:t>
      </w:r>
      <w:r w:rsidR="00FA668C" w:rsidRPr="00E86AF0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рынке аренды жилья </w:t>
      </w:r>
      <w:r w:rsidRPr="00E86AF0">
        <w:rPr>
          <w:rFonts w:ascii="Franklin Gothic Book" w:hAnsi="Franklin Gothic Book"/>
          <w:b/>
          <w:bCs/>
          <w:color w:val="333333"/>
          <w:sz w:val="28"/>
          <w:szCs w:val="28"/>
        </w:rPr>
        <w:t>Санкт-Петербурга</w:t>
      </w:r>
      <w:r w:rsidR="002F2DCE" w:rsidRPr="00E86AF0">
        <w:rPr>
          <w:rFonts w:ascii="Franklin Gothic Book" w:hAnsi="Franklin Gothic Book"/>
          <w:b/>
          <w:bCs/>
          <w:color w:val="333333"/>
          <w:sz w:val="28"/>
          <w:szCs w:val="28"/>
        </w:rPr>
        <w:t>.</w:t>
      </w:r>
      <w:r w:rsidR="00D07D2D" w:rsidRPr="00E86AF0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</w:t>
      </w:r>
    </w:p>
    <w:p w:rsidR="002F2DCE" w:rsidRPr="00E86AF0" w:rsidRDefault="0046484C" w:rsidP="002F2DCE">
      <w:pPr>
        <w:rPr>
          <w:rFonts w:ascii="Franklin Gothic Book" w:hAnsi="Franklin Gothic Book"/>
          <w:color w:val="333333"/>
          <w:sz w:val="28"/>
          <w:szCs w:val="28"/>
        </w:rPr>
      </w:pPr>
      <w:r>
        <w:rPr>
          <w:rFonts w:ascii="Franklin Gothic Book" w:hAnsi="Franklin Gothic Book"/>
          <w:b/>
          <w:bCs/>
          <w:color w:val="333333"/>
          <w:sz w:val="28"/>
          <w:szCs w:val="28"/>
        </w:rPr>
        <w:t>Итоги</w:t>
      </w:r>
      <w:r w:rsidR="00EC34DA" w:rsidRPr="00E86AF0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</w:t>
      </w:r>
      <w:r w:rsidR="00D051E2" w:rsidRPr="00E86AF0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2014</w:t>
      </w:r>
      <w:r w:rsidR="002F2DCE" w:rsidRPr="00E86AF0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года.</w:t>
      </w:r>
    </w:p>
    <w:p w:rsidR="00BE21F2" w:rsidRPr="00E86AF0" w:rsidRDefault="00BE21F2" w:rsidP="00BE21F2">
      <w:pPr>
        <w:jc w:val="both"/>
        <w:rPr>
          <w:rFonts w:ascii="Franklin Gothic Book" w:hAnsi="Franklin Gothic Book"/>
        </w:rPr>
      </w:pPr>
      <w:r w:rsidRPr="00E86AF0">
        <w:rPr>
          <w:rFonts w:ascii="Franklin Gothic Book" w:hAnsi="Franklin Gothic Book"/>
        </w:rPr>
        <w:t xml:space="preserve">(Мария </w:t>
      </w:r>
      <w:proofErr w:type="spellStart"/>
      <w:r w:rsidRPr="00E86AF0">
        <w:rPr>
          <w:rFonts w:ascii="Franklin Gothic Book" w:hAnsi="Franklin Gothic Book"/>
        </w:rPr>
        <w:t>Бент</w:t>
      </w:r>
      <w:proofErr w:type="spellEnd"/>
      <w:r w:rsidRPr="00E86AF0">
        <w:rPr>
          <w:rFonts w:ascii="Franklin Gothic Book" w:hAnsi="Franklin Gothic Book"/>
        </w:rPr>
        <w:t>, САРН, ГК "Бюллетень Недвижимости")</w:t>
      </w:r>
    </w:p>
    <w:p w:rsidR="002F2DCE" w:rsidRPr="00E86AF0" w:rsidRDefault="002F2DCE" w:rsidP="00E23604">
      <w:pPr>
        <w:rPr>
          <w:rFonts w:ascii="Franklin Gothic Book" w:hAnsi="Franklin Gothic Book"/>
        </w:rPr>
      </w:pPr>
      <w:r w:rsidRPr="00E86AF0">
        <w:rPr>
          <w:rFonts w:ascii="Franklin Gothic Book" w:hAnsi="Franklin Gothic Book"/>
        </w:rPr>
        <w:t>_______________________________________________________________________________________________</w:t>
      </w:r>
    </w:p>
    <w:p w:rsidR="004C5665" w:rsidRPr="004C5665" w:rsidRDefault="004C5665" w:rsidP="004C5665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bookmarkStart w:id="0" w:name="OLE_LINK5"/>
      <w:r w:rsidRPr="004C5665">
        <w:rPr>
          <w:rFonts w:ascii="Franklin Gothic Book" w:hAnsi="Franklin Gothic Book"/>
          <w:sz w:val="22"/>
          <w:szCs w:val="22"/>
        </w:rPr>
        <w:t>За минувший 2014 год изменение средней цены предложения на рынке аренды однокомнатных квартир составило 1,4%, средняя стоимость в декабре 2014 года – 21,8 тыс. руб. в месяц. Двухкомнатные показали 3,8%, средняя цена аренды составила 29,6 тыс. руб. в месяц. Стоимость аренды трехкомнатных квартир в Петербурге на конец декабря 2014 года составила 37,2 тыс. руб. в месяц, что на 2,2% выше, чем в декабре 2013 года. Средняя цена предложения комнат повысилась за год на 1,2%, стоимость аренды в месяц составила 11,4 тыс. руб.</w:t>
      </w:r>
    </w:p>
    <w:p w:rsidR="00444BF6" w:rsidRDefault="00444BF6" w:rsidP="00846450">
      <w:pPr>
        <w:pStyle w:val="Tabledate"/>
        <w:jc w:val="left"/>
        <w:rPr>
          <w:rFonts w:ascii="Franklin Gothic Book" w:hAnsi="Franklin Gothic Book"/>
          <w:i/>
          <w:iCs/>
          <w:sz w:val="28"/>
          <w:szCs w:val="28"/>
        </w:rPr>
      </w:pPr>
    </w:p>
    <w:p w:rsidR="00462D21" w:rsidRDefault="00462D21" w:rsidP="00846450">
      <w:pPr>
        <w:pStyle w:val="Tabledate"/>
        <w:jc w:val="left"/>
        <w:rPr>
          <w:rFonts w:ascii="Franklin Gothic Book" w:hAnsi="Franklin Gothic Book"/>
          <w:i/>
          <w:iCs/>
          <w:sz w:val="28"/>
          <w:szCs w:val="28"/>
        </w:rPr>
      </w:pPr>
    </w:p>
    <w:p w:rsidR="00816240" w:rsidRPr="00E86AF0" w:rsidRDefault="00846450" w:rsidP="00846450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Цена, руб./мес.</w:t>
      </w:r>
    </w:p>
    <w:p w:rsidR="0088622B" w:rsidRDefault="004C5665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4C566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>
            <wp:extent cx="2952000" cy="1728000"/>
            <wp:effectExtent l="19050" t="0" r="19800" b="55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D65EC8" w:rsidRPr="00E86AF0">
        <w:rPr>
          <w:rFonts w:ascii="Franklin Gothic Book" w:hAnsi="Franklin Gothic Book" w:cs="Times New Roman"/>
          <w:sz w:val="22"/>
          <w:szCs w:val="22"/>
        </w:rPr>
        <w:t xml:space="preserve">  </w:t>
      </w:r>
      <w:r w:rsidR="00444BF6">
        <w:rPr>
          <w:rFonts w:ascii="Franklin Gothic Book" w:hAnsi="Franklin Gothic Book" w:cs="Times New Roman"/>
          <w:sz w:val="22"/>
          <w:szCs w:val="22"/>
        </w:rPr>
        <w:t xml:space="preserve">    </w:t>
      </w:r>
      <w:r w:rsidR="00462D21">
        <w:rPr>
          <w:rFonts w:ascii="Franklin Gothic Book" w:hAnsi="Franklin Gothic Book" w:cs="Times New Roman"/>
          <w:sz w:val="22"/>
          <w:szCs w:val="22"/>
        </w:rPr>
        <w:t xml:space="preserve">  </w:t>
      </w:r>
      <w:r w:rsidR="00444BF6">
        <w:rPr>
          <w:rFonts w:ascii="Franklin Gothic Book" w:hAnsi="Franklin Gothic Book" w:cs="Times New Roman"/>
          <w:sz w:val="22"/>
          <w:szCs w:val="22"/>
        </w:rPr>
        <w:t xml:space="preserve">  </w:t>
      </w:r>
      <w:r w:rsidRPr="004C566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>
            <wp:extent cx="2952000" cy="1728000"/>
            <wp:effectExtent l="19050" t="0" r="19800" b="55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44BF6" w:rsidRDefault="004F66C6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</w:t>
      </w:r>
      <w:r w:rsidRPr="004F66C6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32" name="Рисунок 10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</w:t>
      </w:r>
      <w:r w:rsidR="00462D21">
        <w:rPr>
          <w:rFonts w:ascii="Franklin Gothic Book" w:hAnsi="Franklin Gothic Book" w:cs="Times New Roman"/>
          <w:sz w:val="22"/>
          <w:szCs w:val="22"/>
        </w:rPr>
        <w:t xml:space="preserve">                         </w:t>
      </w:r>
      <w:r>
        <w:rPr>
          <w:rFonts w:ascii="Franklin Gothic Book" w:hAnsi="Franklin Gothic Book" w:cs="Times New Roman"/>
          <w:sz w:val="22"/>
          <w:szCs w:val="22"/>
        </w:rPr>
        <w:t xml:space="preserve">    </w:t>
      </w:r>
      <w:r w:rsidRPr="004F66C6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33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D21" w:rsidRPr="00E86AF0" w:rsidRDefault="00462D21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846450" w:rsidRPr="00E86AF0" w:rsidRDefault="00846450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  <w:lang w:val="en-US"/>
        </w:rPr>
      </w:pPr>
    </w:p>
    <w:tbl>
      <w:tblPr>
        <w:tblW w:w="9980" w:type="dxa"/>
        <w:tblCellMar>
          <w:left w:w="0" w:type="dxa"/>
          <w:right w:w="0" w:type="dxa"/>
        </w:tblCellMar>
        <w:tblLook w:val="04A0"/>
      </w:tblPr>
      <w:tblGrid>
        <w:gridCol w:w="2380"/>
        <w:gridCol w:w="1900"/>
        <w:gridCol w:w="1900"/>
        <w:gridCol w:w="1900"/>
        <w:gridCol w:w="1900"/>
      </w:tblGrid>
      <w:tr w:rsidR="00015D3A" w:rsidRPr="00462D21" w:rsidTr="00462D21">
        <w:trPr>
          <w:trHeight w:val="283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15D3A" w:rsidRPr="00015D3A" w:rsidRDefault="00015D3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15D3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Период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15D3A" w:rsidRPr="00015D3A" w:rsidRDefault="00015D3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15D3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Комнаты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15D3A" w:rsidRPr="00015D3A" w:rsidRDefault="00015D3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15D3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1ккв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15D3A" w:rsidRPr="00015D3A" w:rsidRDefault="00015D3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15D3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2ккв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15D3A" w:rsidRPr="00015D3A" w:rsidRDefault="00015D3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15D3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3ккв</w:t>
            </w:r>
          </w:p>
        </w:tc>
      </w:tr>
      <w:tr w:rsidR="004C5665" w:rsidRPr="00462D21" w:rsidTr="00462D21">
        <w:trPr>
          <w:trHeight w:val="283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декабрь 2013 г.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11 239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21 488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28 537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36 434</w:t>
            </w:r>
          </w:p>
        </w:tc>
      </w:tr>
      <w:tr w:rsidR="004C5665" w:rsidRPr="00462D21" w:rsidTr="00462D21">
        <w:trPr>
          <w:trHeight w:val="283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декабрь 2014 г.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11 373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21 783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29 619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37 217</w:t>
            </w:r>
          </w:p>
        </w:tc>
      </w:tr>
      <w:tr w:rsidR="004C5665" w:rsidRPr="00462D21" w:rsidTr="00462D21">
        <w:trPr>
          <w:trHeight w:val="283"/>
        </w:trPr>
        <w:tc>
          <w:tcPr>
            <w:tcW w:w="238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изменение за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1.20%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1.38%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3.79%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2.15%</w:t>
            </w:r>
          </w:p>
        </w:tc>
      </w:tr>
    </w:tbl>
    <w:p w:rsidR="00846450" w:rsidRPr="00E86AF0" w:rsidRDefault="00846450" w:rsidP="00846450">
      <w:pPr>
        <w:pStyle w:val="Tabledate"/>
        <w:jc w:val="left"/>
        <w:rPr>
          <w:rFonts w:ascii="Franklin Gothic Book" w:hAnsi="Franklin Gothic Book" w:cs="Times New Roman"/>
          <w:sz w:val="28"/>
          <w:szCs w:val="28"/>
          <w:lang w:val="en-US"/>
        </w:rPr>
      </w:pPr>
    </w:p>
    <w:p w:rsidR="00D24784" w:rsidRPr="00E86AF0" w:rsidRDefault="00D24784" w:rsidP="00D24784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462D21" w:rsidRDefault="00462D21" w:rsidP="004F66C6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4C5665" w:rsidRPr="004C5665" w:rsidRDefault="004C5665" w:rsidP="004C5665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4C5665">
        <w:rPr>
          <w:rFonts w:ascii="Franklin Gothic Book" w:hAnsi="Franklin Gothic Book"/>
          <w:sz w:val="22"/>
          <w:szCs w:val="22"/>
        </w:rPr>
        <w:t xml:space="preserve">В структуре предложения на рынке аренды типового жилья в декабре 2014 года по-прежнему преобладают комнаты и однокомнатные квартиры, занимая соответственно 31,2 и 40,1% рынка. Двухкомнатные квартиры составляют 21,7%, доля трехкомнатных не превышает 6,6%. Многокомнатные (четыре комнаты и более) составляют 0,5% от общего объема типовых квартир, предлагаемых в аренду. </w:t>
      </w:r>
    </w:p>
    <w:p w:rsidR="00462D21" w:rsidRPr="004F66C6" w:rsidRDefault="00462D21" w:rsidP="004F66C6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846450" w:rsidRPr="004F66C6" w:rsidRDefault="00846450" w:rsidP="004F66C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4214AC" w:rsidRPr="00E86AF0" w:rsidRDefault="00846450" w:rsidP="00846450">
      <w:pPr>
        <w:pStyle w:val="Tabledate"/>
        <w:jc w:val="left"/>
        <w:rPr>
          <w:rFonts w:ascii="Franklin Gothic Book" w:hAnsi="Franklin Gothic Book"/>
          <w:noProof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Структура по типу квартир, % от общего объема</w:t>
      </w:r>
      <w:r w:rsidR="00D65EC8" w:rsidRPr="00E86AF0">
        <w:rPr>
          <w:rFonts w:ascii="Franklin Gothic Book" w:hAnsi="Franklin Gothic Book"/>
          <w:noProof/>
          <w:sz w:val="22"/>
          <w:szCs w:val="22"/>
        </w:rPr>
        <w:t xml:space="preserve">  </w:t>
      </w:r>
      <w:r w:rsidR="00A91831" w:rsidRPr="00E86AF0">
        <w:rPr>
          <w:rFonts w:ascii="Franklin Gothic Book" w:hAnsi="Franklin Gothic Book"/>
          <w:noProof/>
          <w:sz w:val="22"/>
          <w:szCs w:val="22"/>
        </w:rPr>
        <w:t xml:space="preserve">  </w:t>
      </w:r>
      <w:r w:rsidR="0090236E" w:rsidRPr="00E86AF0">
        <w:rPr>
          <w:rFonts w:ascii="Franklin Gothic Book" w:hAnsi="Franklin Gothic Book"/>
          <w:noProof/>
          <w:sz w:val="22"/>
          <w:szCs w:val="22"/>
        </w:rPr>
        <w:t xml:space="preserve"> </w:t>
      </w:r>
    </w:p>
    <w:p w:rsidR="004F66C6" w:rsidRPr="007F4CC5" w:rsidRDefault="004C5665" w:rsidP="00846450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  <w:r w:rsidRPr="004C5665">
        <w:rPr>
          <w:rFonts w:ascii="Franklin Gothic Book" w:hAnsi="Franklin Gothic Book"/>
          <w:noProof/>
          <w:sz w:val="24"/>
          <w:szCs w:val="24"/>
        </w:rPr>
        <w:drawing>
          <wp:inline distT="0" distB="0" distL="0" distR="0">
            <wp:extent cx="2952000" cy="1728000"/>
            <wp:effectExtent l="19050" t="0" r="19800" b="55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F4051">
        <w:rPr>
          <w:rFonts w:ascii="Franklin Gothic Book" w:hAnsi="Franklin Gothic Book"/>
          <w:noProof/>
          <w:sz w:val="24"/>
          <w:szCs w:val="24"/>
        </w:rPr>
        <w:t xml:space="preserve">  </w:t>
      </w:r>
      <w:r w:rsidR="00462D21">
        <w:rPr>
          <w:rFonts w:ascii="Franklin Gothic Book" w:hAnsi="Franklin Gothic Book"/>
          <w:noProof/>
          <w:sz w:val="24"/>
          <w:szCs w:val="24"/>
        </w:rPr>
        <w:t xml:space="preserve">       </w:t>
      </w:r>
      <w:r w:rsidRPr="004C5665">
        <w:rPr>
          <w:rFonts w:ascii="Franklin Gothic Book" w:hAnsi="Franklin Gothic Book"/>
          <w:noProof/>
          <w:sz w:val="24"/>
          <w:szCs w:val="24"/>
        </w:rPr>
        <w:drawing>
          <wp:inline distT="0" distB="0" distL="0" distR="0">
            <wp:extent cx="2952000" cy="1728000"/>
            <wp:effectExtent l="19050" t="0" r="19800" b="55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F66C6">
        <w:rPr>
          <w:rFonts w:ascii="Franklin Gothic Book" w:hAnsi="Franklin Gothic Book"/>
          <w:i/>
          <w:iCs/>
          <w:sz w:val="24"/>
          <w:szCs w:val="24"/>
        </w:rPr>
        <w:t xml:space="preserve">   </w:t>
      </w:r>
      <w:r w:rsidR="007F4CC5">
        <w:rPr>
          <w:rFonts w:ascii="Franklin Gothic Book" w:hAnsi="Franklin Gothic Book"/>
          <w:i/>
          <w:iCs/>
          <w:sz w:val="24"/>
          <w:szCs w:val="24"/>
        </w:rPr>
        <w:t xml:space="preserve">  </w:t>
      </w:r>
      <w:r w:rsidR="004F66C6" w:rsidRPr="004F66C6">
        <w:rPr>
          <w:rFonts w:ascii="Franklin Gothic Book" w:hAnsi="Franklin Gothic Book"/>
          <w:noProof/>
          <w:sz w:val="24"/>
          <w:szCs w:val="24"/>
        </w:rPr>
        <w:drawing>
          <wp:inline distT="0" distB="0" distL="0" distR="0">
            <wp:extent cx="1223962" cy="185738"/>
            <wp:effectExtent l="19050" t="0" r="0" b="0"/>
            <wp:docPr id="36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6C6">
        <w:rPr>
          <w:rFonts w:ascii="Franklin Gothic Book" w:hAnsi="Franklin Gothic Book"/>
          <w:i/>
          <w:iCs/>
          <w:sz w:val="24"/>
          <w:szCs w:val="24"/>
        </w:rPr>
        <w:t xml:space="preserve">                            </w:t>
      </w:r>
      <w:r w:rsidR="00462D21">
        <w:rPr>
          <w:rFonts w:ascii="Franklin Gothic Book" w:hAnsi="Franklin Gothic Book"/>
          <w:i/>
          <w:iCs/>
          <w:sz w:val="24"/>
          <w:szCs w:val="24"/>
        </w:rPr>
        <w:t xml:space="preserve">                            </w:t>
      </w:r>
      <w:r w:rsidR="004F66C6" w:rsidRPr="004F66C6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>
            <wp:extent cx="1223962" cy="185738"/>
            <wp:effectExtent l="19050" t="0" r="0" b="0"/>
            <wp:docPr id="38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50" w:rsidRPr="00E86AF0" w:rsidRDefault="00846450" w:rsidP="00846450">
      <w:pPr>
        <w:pStyle w:val="Tabledate"/>
        <w:jc w:val="left"/>
        <w:rPr>
          <w:rFonts w:ascii="Franklin Gothic Book" w:hAnsi="Franklin Gothic Book"/>
          <w:sz w:val="24"/>
          <w:szCs w:val="24"/>
        </w:rPr>
      </w:pPr>
    </w:p>
    <w:p w:rsidR="00407716" w:rsidRDefault="00407716" w:rsidP="004F66C6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4C5665" w:rsidRPr="004C5665" w:rsidRDefault="004C5665" w:rsidP="004C5665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4C5665">
        <w:rPr>
          <w:rFonts w:ascii="Franklin Gothic Book" w:hAnsi="Franklin Gothic Book"/>
          <w:sz w:val="22"/>
          <w:szCs w:val="22"/>
        </w:rPr>
        <w:t xml:space="preserve">Структура предложения на рынке аренды типового жилья по диапазону цены </w:t>
      </w:r>
      <w:proofErr w:type="gramStart"/>
      <w:r w:rsidRPr="004C5665">
        <w:rPr>
          <w:rFonts w:ascii="Franklin Gothic Book" w:hAnsi="Franklin Gothic Book"/>
          <w:sz w:val="22"/>
          <w:szCs w:val="22"/>
        </w:rPr>
        <w:t>на конец</w:t>
      </w:r>
      <w:proofErr w:type="gramEnd"/>
      <w:r w:rsidRPr="004C5665">
        <w:rPr>
          <w:rFonts w:ascii="Franklin Gothic Book" w:hAnsi="Franklin Gothic Book"/>
          <w:sz w:val="22"/>
          <w:szCs w:val="22"/>
        </w:rPr>
        <w:t xml:space="preserve"> 2014 года выглядит следующим образом. Максимальное количество предложений комнат находится в ценовом диапазоне от 10 до 11 тыс. руб. и от 12 до 13 тыс. руб. в месяц, что занимает 26,8 и 23,5% от всего предложения. Наибольшее число однокомнатных квартир зафиксировано в диапазоне от 19 до 21 тыс. руб. в месяц, что составляет 29,3% от всего объема по указанному типу квартир. В сегменте двухкомнатных квартир максимальное предложение объектов приходится на диапазон от 24 до 27 тыс. руб. в месяц, это 22,4% от всего объема. По </w:t>
      </w:r>
      <w:proofErr w:type="gramStart"/>
      <w:r w:rsidRPr="004C5665">
        <w:rPr>
          <w:rFonts w:ascii="Franklin Gothic Book" w:hAnsi="Franklin Gothic Book"/>
          <w:sz w:val="22"/>
          <w:szCs w:val="22"/>
        </w:rPr>
        <w:t>трехкомнатным</w:t>
      </w:r>
      <w:proofErr w:type="gramEnd"/>
      <w:r w:rsidRPr="004C5665">
        <w:rPr>
          <w:rFonts w:ascii="Franklin Gothic Book" w:hAnsi="Franklin Gothic Book"/>
          <w:sz w:val="22"/>
          <w:szCs w:val="22"/>
        </w:rPr>
        <w:t xml:space="preserve"> максимальное число предложений объектов находится в диапазоне цены от 25 до 30 тыс. руб. и от 30 до 35 тыс. руб. в месяц, что составляет 21,8 и 20,4% от всего объема по данному типу квартир. </w:t>
      </w:r>
    </w:p>
    <w:p w:rsidR="00846450" w:rsidRPr="004F66C6" w:rsidRDefault="00846450" w:rsidP="004F66C6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816240" w:rsidRDefault="00846450" w:rsidP="00846450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Диапазоны стоимости аренды в месяц (тыс. руб.), % от общего объема</w:t>
      </w:r>
    </w:p>
    <w:p w:rsidR="00D579F9" w:rsidRPr="00273AE5" w:rsidRDefault="00273AE5" w:rsidP="00846450">
      <w:pPr>
        <w:pStyle w:val="Tabledate"/>
        <w:jc w:val="left"/>
        <w:rPr>
          <w:rFonts w:ascii="Franklin Gothic Book" w:hAnsi="Franklin Gothic Book"/>
          <w:iCs/>
          <w:sz w:val="22"/>
          <w:szCs w:val="22"/>
        </w:rPr>
      </w:pPr>
      <w:r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="00D579F9" w:rsidRPr="00273AE5">
        <w:rPr>
          <w:rFonts w:ascii="Franklin Gothic Book" w:hAnsi="Franklin Gothic Book"/>
          <w:iCs/>
          <w:sz w:val="22"/>
          <w:szCs w:val="22"/>
        </w:rPr>
        <w:t>Комнаты</w:t>
      </w:r>
      <w:r w:rsidR="00201AFA" w:rsidRPr="00273AE5">
        <w:rPr>
          <w:rFonts w:ascii="Franklin Gothic Book" w:hAnsi="Franklin Gothic Book"/>
          <w:iCs/>
          <w:sz w:val="22"/>
          <w:szCs w:val="22"/>
        </w:rPr>
        <w:t xml:space="preserve">                                                     </w:t>
      </w:r>
      <w:r w:rsidR="00462D21" w:rsidRPr="00273AE5">
        <w:rPr>
          <w:rFonts w:ascii="Franklin Gothic Book" w:hAnsi="Franklin Gothic Book"/>
          <w:iCs/>
          <w:sz w:val="22"/>
          <w:szCs w:val="22"/>
        </w:rPr>
        <w:t xml:space="preserve">                         </w:t>
      </w:r>
      <w:r w:rsidR="00201AFA" w:rsidRPr="00273AE5">
        <w:rPr>
          <w:rFonts w:ascii="Franklin Gothic Book" w:hAnsi="Franklin Gothic Book"/>
          <w:iCs/>
          <w:sz w:val="22"/>
          <w:szCs w:val="22"/>
        </w:rPr>
        <w:t xml:space="preserve"> Однокомнатные квартиры</w:t>
      </w:r>
    </w:p>
    <w:p w:rsidR="00846450" w:rsidRDefault="004C5665" w:rsidP="00D579F9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 w:rsidRPr="004C5665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2952000" cy="1728000"/>
            <wp:effectExtent l="19050" t="0" r="19800" b="55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62D21">
        <w:rPr>
          <w:rFonts w:ascii="Franklin Gothic Book" w:hAnsi="Franklin Gothic Book" w:cs="Times New Roman"/>
          <w:noProof/>
          <w:sz w:val="22"/>
          <w:szCs w:val="22"/>
        </w:rPr>
        <w:t xml:space="preserve">        </w:t>
      </w:r>
      <w:r w:rsidR="004F66C6">
        <w:rPr>
          <w:rFonts w:ascii="Franklin Gothic Book" w:hAnsi="Franklin Gothic Book" w:cs="Times New Roman"/>
          <w:noProof/>
          <w:sz w:val="22"/>
          <w:szCs w:val="22"/>
        </w:rPr>
        <w:t xml:space="preserve"> </w:t>
      </w:r>
      <w:r w:rsidRPr="004C5665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2952000" cy="1728000"/>
            <wp:effectExtent l="19050" t="0" r="19800" b="55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1AFA" w:rsidRDefault="00D579F9" w:rsidP="002F2DCE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>
        <w:rPr>
          <w:rFonts w:ascii="Franklin Gothic Book" w:hAnsi="Franklin Gothic Book" w:cs="Times New Roman"/>
          <w:noProof/>
          <w:sz w:val="22"/>
          <w:szCs w:val="22"/>
        </w:rPr>
        <w:t xml:space="preserve">        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43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Times New Roman"/>
          <w:noProof/>
          <w:sz w:val="22"/>
          <w:szCs w:val="22"/>
        </w:rPr>
        <w:t xml:space="preserve">                                 </w:t>
      </w:r>
      <w:r w:rsidR="00462D21">
        <w:rPr>
          <w:rFonts w:ascii="Franklin Gothic Book" w:hAnsi="Franklin Gothic Book" w:cs="Times New Roman"/>
          <w:noProof/>
          <w:sz w:val="22"/>
          <w:szCs w:val="22"/>
        </w:rPr>
        <w:t xml:space="preserve">                         </w:t>
      </w:r>
      <w:r>
        <w:rPr>
          <w:rFonts w:ascii="Franklin Gothic Book" w:hAnsi="Franklin Gothic Book" w:cs="Times New Roman"/>
          <w:noProof/>
          <w:sz w:val="22"/>
          <w:szCs w:val="22"/>
        </w:rPr>
        <w:t xml:space="preserve">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44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D21" w:rsidRDefault="00462D21" w:rsidP="002F2DCE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</w:p>
    <w:p w:rsidR="004F66C6" w:rsidRDefault="00273AE5" w:rsidP="002F2DCE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>
        <w:rPr>
          <w:rFonts w:ascii="Franklin Gothic Book" w:hAnsi="Franklin Gothic Book" w:cs="Times New Roman"/>
          <w:noProof/>
          <w:sz w:val="22"/>
          <w:szCs w:val="22"/>
        </w:rPr>
        <w:t xml:space="preserve">  </w:t>
      </w:r>
      <w:r w:rsidR="00201AFA">
        <w:rPr>
          <w:rFonts w:ascii="Franklin Gothic Book" w:hAnsi="Franklin Gothic Book" w:cs="Times New Roman"/>
          <w:noProof/>
          <w:sz w:val="22"/>
          <w:szCs w:val="22"/>
        </w:rPr>
        <w:t xml:space="preserve">Двухкомнатные квартиры                          </w:t>
      </w:r>
      <w:r w:rsidR="00462D21">
        <w:rPr>
          <w:rFonts w:ascii="Franklin Gothic Book" w:hAnsi="Franklin Gothic Book" w:cs="Times New Roman"/>
          <w:noProof/>
          <w:sz w:val="22"/>
          <w:szCs w:val="22"/>
        </w:rPr>
        <w:t xml:space="preserve">                        </w:t>
      </w:r>
      <w:r w:rsidR="00201AFA">
        <w:rPr>
          <w:rFonts w:ascii="Franklin Gothic Book" w:hAnsi="Franklin Gothic Book" w:cs="Times New Roman"/>
          <w:noProof/>
          <w:sz w:val="22"/>
          <w:szCs w:val="22"/>
        </w:rPr>
        <w:t>Трехкомнатные квартиры</w:t>
      </w:r>
    </w:p>
    <w:p w:rsidR="004F66C6" w:rsidRDefault="004C5665" w:rsidP="00D579F9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4C566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>
            <wp:extent cx="2952000" cy="1728000"/>
            <wp:effectExtent l="19050" t="0" r="19800" b="55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462D21">
        <w:rPr>
          <w:rFonts w:ascii="Franklin Gothic Book" w:hAnsi="Franklin Gothic Book" w:cs="Times New Roman"/>
          <w:sz w:val="22"/>
          <w:szCs w:val="22"/>
        </w:rPr>
        <w:t xml:space="preserve">  </w:t>
      </w:r>
      <w:r w:rsidR="004F66C6">
        <w:rPr>
          <w:rFonts w:ascii="Franklin Gothic Book" w:hAnsi="Franklin Gothic Book" w:cs="Times New Roman"/>
          <w:sz w:val="22"/>
          <w:szCs w:val="22"/>
        </w:rPr>
        <w:t xml:space="preserve">        </w:t>
      </w:r>
      <w:r w:rsidRPr="004C566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>
            <wp:extent cx="2952000" cy="1728000"/>
            <wp:effectExtent l="19050" t="0" r="19800" b="55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79F9" w:rsidRPr="00E86AF0" w:rsidRDefault="00D579F9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45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</w:t>
      </w:r>
      <w:r w:rsidR="00462D21">
        <w:rPr>
          <w:rFonts w:ascii="Franklin Gothic Book" w:hAnsi="Franklin Gothic Book" w:cs="Times New Roman"/>
          <w:sz w:val="22"/>
          <w:szCs w:val="22"/>
        </w:rPr>
        <w:t xml:space="preserve">                        </w:t>
      </w:r>
      <w:r w:rsidR="00273AE5">
        <w:rPr>
          <w:rFonts w:ascii="Franklin Gothic Book" w:hAnsi="Franklin Gothic Book" w:cs="Times New Roman"/>
          <w:sz w:val="22"/>
          <w:szCs w:val="22"/>
        </w:rPr>
        <w:t xml:space="preserve">  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46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79" w:rsidRPr="00E86AF0" w:rsidRDefault="003B5E79" w:rsidP="003D5CD3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4C5665" w:rsidRPr="004C5665" w:rsidRDefault="004C5665" w:rsidP="004C5665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4C5665">
        <w:rPr>
          <w:rFonts w:ascii="Franklin Gothic Book" w:hAnsi="Franklin Gothic Book"/>
          <w:sz w:val="22"/>
          <w:szCs w:val="22"/>
        </w:rPr>
        <w:t xml:space="preserve">В структуре предложения по районам </w:t>
      </w:r>
      <w:proofErr w:type="gramStart"/>
      <w:r w:rsidRPr="004C5665">
        <w:rPr>
          <w:rFonts w:ascii="Franklin Gothic Book" w:hAnsi="Franklin Gothic Book"/>
          <w:sz w:val="22"/>
          <w:szCs w:val="22"/>
        </w:rPr>
        <w:t>на конец</w:t>
      </w:r>
      <w:proofErr w:type="gramEnd"/>
      <w:r w:rsidRPr="004C5665">
        <w:rPr>
          <w:rFonts w:ascii="Franklin Gothic Book" w:hAnsi="Franklin Gothic Book"/>
          <w:sz w:val="22"/>
          <w:szCs w:val="22"/>
        </w:rPr>
        <w:t xml:space="preserve"> 2014 года лидирующие позиции занимает Приморский район Петербурга, составляющий 11,6% от всего объема рынка аренды жилья. Далее на рынке большую долю занимают Невский, Выборгский и Калининский районы, их доля в предложении – 11,1, 10,4 и 9,2% соответственно. Минимальное количество типовых объектов, предлагаемых в аренду, наблюдается в Петроградском, Адмиралтейском и Василеостровском </w:t>
      </w:r>
      <w:proofErr w:type="gramStart"/>
      <w:r w:rsidRPr="004C5665">
        <w:rPr>
          <w:rFonts w:ascii="Franklin Gothic Book" w:hAnsi="Franklin Gothic Book"/>
          <w:sz w:val="22"/>
          <w:szCs w:val="22"/>
        </w:rPr>
        <w:t>районах</w:t>
      </w:r>
      <w:proofErr w:type="gramEnd"/>
      <w:r w:rsidRPr="004C5665">
        <w:rPr>
          <w:rFonts w:ascii="Franklin Gothic Book" w:hAnsi="Franklin Gothic Book"/>
          <w:sz w:val="22"/>
          <w:szCs w:val="22"/>
        </w:rPr>
        <w:t xml:space="preserve">, предложение распределяется в среднем от 3,9 до 5% на каждый район. </w:t>
      </w:r>
    </w:p>
    <w:p w:rsidR="00400E3A" w:rsidRPr="00E86AF0" w:rsidRDefault="00400E3A" w:rsidP="00846450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</w:p>
    <w:p w:rsidR="00816240" w:rsidRPr="00E86AF0" w:rsidRDefault="00846450" w:rsidP="00846450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Структура по районам, % от общего объема</w:t>
      </w:r>
    </w:p>
    <w:p w:rsidR="00846450" w:rsidRDefault="004C5665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4C566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>
            <wp:extent cx="6051550" cy="1816100"/>
            <wp:effectExtent l="19050" t="0" r="25400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1AFA" w:rsidRPr="00E86AF0" w:rsidRDefault="00201AFA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</w:t>
      </w:r>
      <w:r w:rsidRPr="00201AF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53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79" w:rsidRPr="00201AFA" w:rsidRDefault="00201AFA" w:rsidP="00201AF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201AFA" w:rsidRDefault="00201AFA" w:rsidP="00201AFA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4C5665" w:rsidRPr="004C5665" w:rsidRDefault="004C5665" w:rsidP="004C5665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4C5665">
        <w:rPr>
          <w:rFonts w:ascii="Franklin Gothic Book" w:hAnsi="Franklin Gothic Book"/>
          <w:sz w:val="22"/>
          <w:szCs w:val="22"/>
        </w:rPr>
        <w:t xml:space="preserve">Самое дорогое жилье на рынке аренды по-прежнему предлагается в центральных районах города (Центральном, Петроградском, Василеостровском и Адмиралтейском). </w:t>
      </w:r>
      <w:proofErr w:type="gramStart"/>
      <w:r w:rsidRPr="004C5665">
        <w:rPr>
          <w:rFonts w:ascii="Franklin Gothic Book" w:hAnsi="Franklin Gothic Book"/>
          <w:sz w:val="22"/>
          <w:szCs w:val="22"/>
        </w:rPr>
        <w:t>На конец 2014 года средняя цена типовой однокомнатной квартиры в них – от 24,6 до 32,9 тыс. руб. в месяц, цена двухкомнатной – от 33,8 до 41,3 тыс. руб. Трехкомнатные в центральных районах предлагаются в среднем от 45 до 51,7 тыс. руб. в месяц, в зависимости от месторасположения и состояния.</w:t>
      </w:r>
      <w:proofErr w:type="gramEnd"/>
      <w:r w:rsidRPr="004C5665">
        <w:rPr>
          <w:rFonts w:ascii="Franklin Gothic Book" w:hAnsi="Franklin Gothic Book"/>
          <w:sz w:val="22"/>
          <w:szCs w:val="22"/>
        </w:rPr>
        <w:t xml:space="preserve"> Самые дешевые квартиры – в Красносельском районе Петербурга, аренда однокомнатной в месяц в среднем стоит 19,2 тыс. руб., двухкомнатной – 24,2 тыс. руб., трехкомнатные в среднем предлагаются по цене 29 тыс. руб. в месяц.</w:t>
      </w:r>
    </w:p>
    <w:p w:rsidR="00201AFA" w:rsidRPr="00201AFA" w:rsidRDefault="00201AFA" w:rsidP="00201AFA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B157D1" w:rsidRPr="00E86AF0" w:rsidRDefault="00B157D1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FB5612" w:rsidRPr="00E86AF0" w:rsidRDefault="00FB5612" w:rsidP="00846450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</w:p>
    <w:p w:rsidR="00776520" w:rsidRPr="00E86AF0" w:rsidRDefault="00846450" w:rsidP="00846450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Средняя цена предложения по районам Петербурга, руб./мес.</w:t>
      </w:r>
    </w:p>
    <w:tbl>
      <w:tblPr>
        <w:tblW w:w="9980" w:type="dxa"/>
        <w:tblCellMar>
          <w:left w:w="0" w:type="dxa"/>
          <w:right w:w="0" w:type="dxa"/>
        </w:tblCellMar>
        <w:tblLook w:val="04A0"/>
      </w:tblPr>
      <w:tblGrid>
        <w:gridCol w:w="2740"/>
        <w:gridCol w:w="1200"/>
        <w:gridCol w:w="1200"/>
        <w:gridCol w:w="1220"/>
        <w:gridCol w:w="1200"/>
        <w:gridCol w:w="1200"/>
        <w:gridCol w:w="1220"/>
      </w:tblGrid>
      <w:tr w:rsidR="00201AFA" w:rsidRPr="00201AFA" w:rsidTr="00201AFA">
        <w:trPr>
          <w:trHeight w:val="283"/>
        </w:trPr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01AFA" w:rsidRPr="00201AFA" w:rsidRDefault="00201AFA" w:rsidP="00201AFA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  <w:b/>
                <w:bCs/>
              </w:rPr>
              <w:t>Районы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01AFA" w:rsidRPr="00201AFA" w:rsidRDefault="00201AFA" w:rsidP="00201AFA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  <w:b/>
                <w:bCs/>
              </w:rPr>
              <w:t>Комнаты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01AFA" w:rsidRPr="00201AFA" w:rsidRDefault="00201AFA" w:rsidP="00201AFA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  <w:b/>
                <w:bCs/>
              </w:rPr>
              <w:t>Однокомнатные квартиры</w:t>
            </w:r>
          </w:p>
        </w:tc>
      </w:tr>
      <w:tr w:rsidR="004C5665" w:rsidRPr="00201AFA" w:rsidTr="00015D3A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65" w:rsidRPr="00201AFA" w:rsidRDefault="004C5665" w:rsidP="00201AFA">
            <w:pPr>
              <w:pStyle w:val="Tabledate"/>
              <w:rPr>
                <w:rFonts w:ascii="Franklin Gothic Book" w:hAnsi="Franklin Gothic Boo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2013 г.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 2014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изменение </w:t>
            </w:r>
          </w:p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за год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2013 г.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декабрь</w:t>
            </w:r>
          </w:p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 2014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изменение</w:t>
            </w:r>
          </w:p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за год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Адмиралтейский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11 737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11 697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-0.34%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24 682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25 539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3.47%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Василеостровский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11 680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11 761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0.69%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25 161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24 561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-2.39%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Выборгский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11 236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-2.07%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21 356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21 787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2.02%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Калининский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10 739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11 112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3.47%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20 811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20 700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-0.54%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Кировский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10 432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10 616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1.77%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19 826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20 121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1.48%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Красногвардейский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10 730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11 298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5.30%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19 961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20 250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1.45%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proofErr w:type="spellStart"/>
            <w:r w:rsidRPr="00201AFA">
              <w:rPr>
                <w:rFonts w:ascii="Franklin Gothic Book" w:hAnsi="Franklin Gothic Book"/>
              </w:rPr>
              <w:t>Красносельский</w:t>
            </w:r>
            <w:proofErr w:type="spellEnd"/>
            <w:r w:rsidRPr="00201AF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10 049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10 171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1.21%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18 851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19 170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1.69%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Московский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11 422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2.44%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22 519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22 384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-0.60%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Невский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10 920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10 993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0.67%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20 568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20 646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0.38%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Петроградский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11 722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12 135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3.52%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26 873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32 877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22.34%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Приморский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11 294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11 469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1.55%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21 795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22 164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1.69%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proofErr w:type="spellStart"/>
            <w:r w:rsidRPr="00201AFA">
              <w:rPr>
                <w:rFonts w:ascii="Franklin Gothic Book" w:hAnsi="Franklin Gothic Book"/>
              </w:rPr>
              <w:t>Фрунзенский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10 958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10 949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-0.08%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20 793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20 714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-0.38%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Центральный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12 122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-0.85%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30 565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31 875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4.29%</w:t>
            </w:r>
          </w:p>
        </w:tc>
      </w:tr>
    </w:tbl>
    <w:p w:rsidR="00FB5612" w:rsidRPr="00E86AF0" w:rsidRDefault="00FB5612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FB5612" w:rsidRDefault="00FB5612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201AFA" w:rsidRDefault="00201AFA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201AFA" w:rsidRPr="00E86AF0" w:rsidRDefault="00201AFA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tbl>
      <w:tblPr>
        <w:tblW w:w="9980" w:type="dxa"/>
        <w:tblCellMar>
          <w:left w:w="0" w:type="dxa"/>
          <w:right w:w="0" w:type="dxa"/>
        </w:tblCellMar>
        <w:tblLook w:val="04A0"/>
      </w:tblPr>
      <w:tblGrid>
        <w:gridCol w:w="2740"/>
        <w:gridCol w:w="1200"/>
        <w:gridCol w:w="1200"/>
        <w:gridCol w:w="1220"/>
        <w:gridCol w:w="1200"/>
        <w:gridCol w:w="1200"/>
        <w:gridCol w:w="1220"/>
      </w:tblGrid>
      <w:tr w:rsidR="00201AFA" w:rsidRPr="00201AFA" w:rsidTr="00201AFA">
        <w:trPr>
          <w:trHeight w:val="283"/>
        </w:trPr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01AFA" w:rsidRPr="00201AFA" w:rsidRDefault="00201AFA" w:rsidP="00201AFA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  <w:b/>
                <w:bCs/>
              </w:rPr>
              <w:t>Районы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01AFA" w:rsidRPr="00201AFA" w:rsidRDefault="00201AFA" w:rsidP="00201AFA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  <w:b/>
                <w:bCs/>
              </w:rPr>
              <w:t>Двухкомнатные квартиры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01AFA" w:rsidRPr="00201AFA" w:rsidRDefault="00201AFA" w:rsidP="00201AFA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  <w:b/>
                <w:bCs/>
              </w:rPr>
              <w:t>Трехкомнатные квартиры</w:t>
            </w:r>
          </w:p>
        </w:tc>
      </w:tr>
      <w:tr w:rsidR="004C5665" w:rsidRPr="00201AFA" w:rsidTr="00015D3A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65" w:rsidRPr="00201AFA" w:rsidRDefault="004C5665" w:rsidP="00201AFA">
            <w:pPr>
              <w:pStyle w:val="Tabledate"/>
              <w:rPr>
                <w:rFonts w:ascii="Franklin Gothic Book" w:hAnsi="Franklin Gothic Boo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4C5665" w:rsidRPr="004C5665" w:rsidRDefault="004C566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2013 г.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4C5665" w:rsidRPr="004C5665" w:rsidRDefault="004C566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 2014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изменение </w:t>
            </w:r>
          </w:p>
          <w:p w:rsidR="004C5665" w:rsidRPr="004C5665" w:rsidRDefault="004C566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за год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4C5665" w:rsidRPr="004C5665" w:rsidRDefault="004C566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2013 г.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декабрь</w:t>
            </w:r>
          </w:p>
          <w:p w:rsidR="004C5665" w:rsidRPr="004C5665" w:rsidRDefault="004C566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 2014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изменение</w:t>
            </w:r>
          </w:p>
          <w:p w:rsidR="004C5665" w:rsidRPr="004C5665" w:rsidRDefault="004C566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за год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Адмиралтейский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34 576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35 812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3.58%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51 481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46 323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-10.02%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Василеостровский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34 143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33 780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-1.07%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46 200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44 968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-2.67%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Выборгский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26 649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29 336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10.08%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34 087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36 910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8.28%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Калининский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25 370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25 342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-0.11%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32 247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33 457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3.75%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Кировский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25 897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26 467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2.20%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29 117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30 069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3.27%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Красногвардейский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24 353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26 435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8.55%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32 109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35 857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11.67%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proofErr w:type="spellStart"/>
            <w:r w:rsidRPr="00201AFA">
              <w:rPr>
                <w:rFonts w:ascii="Franklin Gothic Book" w:hAnsi="Franklin Gothic Book"/>
              </w:rPr>
              <w:t>Красносельский</w:t>
            </w:r>
            <w:proofErr w:type="spellEnd"/>
            <w:r w:rsidRPr="00201AF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23 254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24 227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4.19%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29 300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29 033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-0.91%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Московский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29 784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29 256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-1.77%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36 843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40 041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8.68%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Невский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26 037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25 859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-0.68%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33 430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31 167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-6.77%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Петроградский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35 606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41 316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16.04%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54 160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47 467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-12.36%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Приморский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28 550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30 489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6.79%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39 212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35 205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-10.22%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proofErr w:type="spellStart"/>
            <w:r w:rsidRPr="00201AFA">
              <w:rPr>
                <w:rFonts w:ascii="Franklin Gothic Book" w:hAnsi="Franklin Gothic Book"/>
              </w:rPr>
              <w:t>Фрунзенский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25 750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26 636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3.44%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30 293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30 283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-0.03%</w:t>
            </w:r>
          </w:p>
        </w:tc>
      </w:tr>
      <w:tr w:rsidR="004C566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201AFA" w:rsidRDefault="004C5665" w:rsidP="00201AFA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Центральный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41 897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41 080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-1.95%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52 468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C5665" w:rsidRPr="004C5665" w:rsidRDefault="004C5665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C566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-1.53%</w:t>
            </w:r>
          </w:p>
        </w:tc>
      </w:tr>
    </w:tbl>
    <w:p w:rsidR="00FB5612" w:rsidRPr="00E86AF0" w:rsidRDefault="00FB5612" w:rsidP="003D5CD3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C10255" w:rsidRDefault="00C10255" w:rsidP="003D5CD3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201AFA" w:rsidRDefault="00201AFA" w:rsidP="003D5CD3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201AFA" w:rsidRDefault="00201AFA" w:rsidP="00201AFA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201AFA" w:rsidRDefault="00201AFA" w:rsidP="00201AFA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F43869" w:rsidRPr="00F43869" w:rsidRDefault="00F43869" w:rsidP="00F43869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F43869">
        <w:rPr>
          <w:rFonts w:ascii="Franklin Gothic Book" w:hAnsi="Franklin Gothic Book"/>
          <w:sz w:val="22"/>
          <w:szCs w:val="22"/>
        </w:rPr>
        <w:lastRenderedPageBreak/>
        <w:t xml:space="preserve">В структуре предложения на рынке посуточной аренды типового жилья в декабре 2014 года, как и в декабре 2013 года, преобладают однокомнатные квартиры, они занимают 53,8% рынка. </w:t>
      </w:r>
      <w:proofErr w:type="gramStart"/>
      <w:r w:rsidRPr="00F43869">
        <w:rPr>
          <w:rFonts w:ascii="Franklin Gothic Book" w:hAnsi="Franklin Gothic Book"/>
          <w:sz w:val="22"/>
          <w:szCs w:val="22"/>
        </w:rPr>
        <w:t>Двухкомнатные</w:t>
      </w:r>
      <w:proofErr w:type="gramEnd"/>
      <w:r w:rsidRPr="00F43869">
        <w:rPr>
          <w:rFonts w:ascii="Franklin Gothic Book" w:hAnsi="Franklin Gothic Book"/>
          <w:sz w:val="22"/>
          <w:szCs w:val="22"/>
        </w:rPr>
        <w:t xml:space="preserve"> составляют 22,2%, доля трехкомнатных квартир – 7,8% от общего объема типового жилья. Комнаты в общей структуре – 15,4% от всего предложения.</w:t>
      </w:r>
    </w:p>
    <w:p w:rsidR="00FB5612" w:rsidRPr="00201AFA" w:rsidRDefault="00FB5612" w:rsidP="00201AFA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846450" w:rsidRPr="00E86AF0" w:rsidRDefault="00846450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846450" w:rsidRDefault="00846450" w:rsidP="002F2DCE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Структура на рынке посуточной аренды по типу квартир, % от общего объема</w:t>
      </w:r>
      <w:r w:rsidR="0013447D" w:rsidRPr="00E86AF0">
        <w:rPr>
          <w:rFonts w:ascii="Franklin Gothic Book" w:hAnsi="Franklin Gothic Book" w:cs="Times New Roman"/>
          <w:sz w:val="22"/>
          <w:szCs w:val="22"/>
        </w:rPr>
        <w:t xml:space="preserve">  </w:t>
      </w:r>
      <w:r w:rsidR="001877EF">
        <w:rPr>
          <w:rFonts w:ascii="Franklin Gothic Book" w:hAnsi="Franklin Gothic Book" w:cs="Times New Roman"/>
          <w:sz w:val="22"/>
          <w:szCs w:val="22"/>
        </w:rPr>
        <w:t xml:space="preserve"> </w:t>
      </w:r>
    </w:p>
    <w:p w:rsidR="00201AFA" w:rsidRPr="001877EF" w:rsidRDefault="00F43869" w:rsidP="002F2DCE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F43869">
        <w:rPr>
          <w:rFonts w:ascii="Franklin Gothic Book" w:hAnsi="Franklin Gothic Book"/>
          <w:i/>
          <w:iCs/>
          <w:sz w:val="22"/>
          <w:szCs w:val="22"/>
        </w:rPr>
        <w:drawing>
          <wp:inline distT="0" distB="0" distL="0" distR="0">
            <wp:extent cx="2952000" cy="1728788"/>
            <wp:effectExtent l="19050" t="0" r="19800" b="4762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62D21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="00201AFA">
        <w:rPr>
          <w:rFonts w:ascii="Franklin Gothic Book" w:hAnsi="Franklin Gothic Book"/>
          <w:i/>
          <w:iCs/>
          <w:sz w:val="22"/>
          <w:szCs w:val="22"/>
        </w:rPr>
        <w:t xml:space="preserve">    </w:t>
      </w:r>
      <w:r w:rsidRPr="00F43869">
        <w:rPr>
          <w:rFonts w:ascii="Franklin Gothic Book" w:hAnsi="Franklin Gothic Book"/>
          <w:i/>
          <w:iCs/>
          <w:sz w:val="22"/>
          <w:szCs w:val="22"/>
        </w:rPr>
        <w:drawing>
          <wp:inline distT="0" distB="0" distL="0" distR="0">
            <wp:extent cx="2951162" cy="1728788"/>
            <wp:effectExtent l="19050" t="0" r="20638" b="4762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46450" w:rsidRPr="00E86AF0" w:rsidRDefault="00846450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201AFA" w:rsidRPr="00E86AF0" w:rsidRDefault="00201AFA" w:rsidP="003D5CD3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201AFA" w:rsidRDefault="00201AFA" w:rsidP="00201AFA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F43869" w:rsidRPr="00F43869" w:rsidRDefault="00F43869" w:rsidP="00F43869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F43869">
        <w:rPr>
          <w:rFonts w:ascii="Franklin Gothic Book" w:hAnsi="Franklin Gothic Book"/>
          <w:sz w:val="22"/>
          <w:szCs w:val="22"/>
        </w:rPr>
        <w:t xml:space="preserve">В структуре предложения по районам на рынке посуточной аренды типового </w:t>
      </w:r>
      <w:proofErr w:type="gramStart"/>
      <w:r w:rsidRPr="00F43869">
        <w:rPr>
          <w:rFonts w:ascii="Franklin Gothic Book" w:hAnsi="Franklin Gothic Book"/>
          <w:sz w:val="22"/>
          <w:szCs w:val="22"/>
        </w:rPr>
        <w:t>жилья</w:t>
      </w:r>
      <w:proofErr w:type="gramEnd"/>
      <w:r w:rsidRPr="00F43869">
        <w:rPr>
          <w:rFonts w:ascii="Franklin Gothic Book" w:hAnsi="Franklin Gothic Book"/>
          <w:sz w:val="22"/>
          <w:szCs w:val="22"/>
        </w:rPr>
        <w:t xml:space="preserve"> лидирующие позиции по-прежнему занимает Центральный район Петербурга, его доля на конец декабря 2014 года – 34,6% от всего объема рынка. Минимальное количество объектов, предлагаемых на рынке посуточной аренды, наблюдается в Красносельском, Фрунзенском и Красногвардейском районах, их доля в предложении составила от 0,8% до 2,7%. Объем предложения по остальным районам распределяется в среднем от 3,2 до 11,8% от общего количества объектов.</w:t>
      </w:r>
    </w:p>
    <w:p w:rsidR="00201AFA" w:rsidRPr="00F43869" w:rsidRDefault="00201AFA" w:rsidP="00F43869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CD2CEC" w:rsidRPr="00E86AF0" w:rsidRDefault="00CD2CEC" w:rsidP="00846450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</w:p>
    <w:p w:rsidR="00FB5612" w:rsidRPr="00E86AF0" w:rsidRDefault="00846450" w:rsidP="00846450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Структура на рынке посуточной аренды по районам, % от общего объема</w:t>
      </w:r>
    </w:p>
    <w:p w:rsidR="00846450" w:rsidRDefault="00F43869" w:rsidP="00846450">
      <w:pPr>
        <w:pStyle w:val="Tabledate"/>
        <w:jc w:val="left"/>
        <w:rPr>
          <w:rFonts w:ascii="Franklin Gothic Book" w:hAnsi="Franklin Gothic Book"/>
          <w:sz w:val="24"/>
          <w:szCs w:val="24"/>
        </w:rPr>
      </w:pPr>
      <w:r w:rsidRPr="00F43869">
        <w:rPr>
          <w:rFonts w:ascii="Franklin Gothic Book" w:hAnsi="Franklin Gothic Book"/>
          <w:sz w:val="24"/>
          <w:szCs w:val="24"/>
        </w:rPr>
        <w:drawing>
          <wp:inline distT="0" distB="0" distL="0" distR="0">
            <wp:extent cx="6152515" cy="2044065"/>
            <wp:effectExtent l="19050" t="0" r="19685" b="0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F4CC5" w:rsidRPr="00E86AF0" w:rsidRDefault="007F4CC5" w:rsidP="00846450">
      <w:pPr>
        <w:pStyle w:val="Tabledate"/>
        <w:jc w:val="lef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</w:t>
      </w:r>
      <w:r w:rsidRPr="007F4CC5">
        <w:rPr>
          <w:rFonts w:ascii="Franklin Gothic Book" w:hAnsi="Franklin Gothic Book"/>
          <w:noProof/>
          <w:sz w:val="24"/>
          <w:szCs w:val="24"/>
        </w:rPr>
        <w:drawing>
          <wp:inline distT="0" distB="0" distL="0" distR="0">
            <wp:extent cx="1223962" cy="185738"/>
            <wp:effectExtent l="19050" t="0" r="0" b="0"/>
            <wp:docPr id="58" name="Рисунок 27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AFA" w:rsidRPr="00E86AF0" w:rsidRDefault="00201AFA" w:rsidP="00FB5612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FB5612" w:rsidRPr="00280870" w:rsidRDefault="00FB5612" w:rsidP="00280870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F43869" w:rsidRDefault="00F43869" w:rsidP="00F43869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F43869">
        <w:rPr>
          <w:rFonts w:ascii="Franklin Gothic Book" w:hAnsi="Franklin Gothic Book"/>
          <w:sz w:val="22"/>
          <w:szCs w:val="22"/>
        </w:rPr>
        <w:t xml:space="preserve">Стоимость комнат на рынке посуточной аренды в декабре 2014 года составляет в среднем от 500 до 980 руб. в сутки. Однокомнатные квартиры предлагаются в ценовом диапазоне от 1,3 до 1,9 тыс. руб. в сутки. Средний ценовой диапазон двухкомнатных квартир, предлагаемых в посуточную аренду, составляет от 2 до 2,7 тыс. руб. в сутки. Стоимость </w:t>
      </w:r>
      <w:proofErr w:type="gramStart"/>
      <w:r w:rsidRPr="00F43869">
        <w:rPr>
          <w:rFonts w:ascii="Franklin Gothic Book" w:hAnsi="Franklin Gothic Book"/>
          <w:sz w:val="22"/>
          <w:szCs w:val="22"/>
        </w:rPr>
        <w:t>трехкомнатных</w:t>
      </w:r>
      <w:proofErr w:type="gramEnd"/>
      <w:r w:rsidRPr="00F43869">
        <w:rPr>
          <w:rFonts w:ascii="Franklin Gothic Book" w:hAnsi="Franklin Gothic Book"/>
          <w:sz w:val="22"/>
          <w:szCs w:val="22"/>
        </w:rPr>
        <w:t xml:space="preserve"> – от 2,3 до 3,5 тыс. руб. в сутки, в зависимости от месторасположения и состояния объекта.</w:t>
      </w:r>
    </w:p>
    <w:p w:rsidR="00F43869" w:rsidRPr="00F43869" w:rsidRDefault="00F43869" w:rsidP="00F43869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513233" w:rsidRPr="00513233" w:rsidRDefault="00513233" w:rsidP="00513233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FB5612" w:rsidRPr="00E86AF0" w:rsidRDefault="00846450" w:rsidP="00846450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Цена посуточной аренды по районам, руб</w:t>
      </w:r>
      <w:proofErr w:type="gramStart"/>
      <w:r w:rsidRPr="00E86AF0">
        <w:rPr>
          <w:rFonts w:ascii="Franklin Gothic Book" w:hAnsi="Franklin Gothic Book"/>
          <w:i/>
          <w:iCs/>
          <w:sz w:val="22"/>
          <w:szCs w:val="22"/>
        </w:rPr>
        <w:t>../</w:t>
      </w:r>
      <w:proofErr w:type="spellStart"/>
      <w:proofErr w:type="gramEnd"/>
      <w:r w:rsidRPr="00E86AF0">
        <w:rPr>
          <w:rFonts w:ascii="Franklin Gothic Book" w:hAnsi="Franklin Gothic Book"/>
          <w:i/>
          <w:iCs/>
          <w:sz w:val="22"/>
          <w:szCs w:val="22"/>
        </w:rPr>
        <w:t>сут</w:t>
      </w:r>
      <w:proofErr w:type="spellEnd"/>
      <w:r w:rsidRPr="00E86AF0">
        <w:rPr>
          <w:rFonts w:ascii="Franklin Gothic Book" w:hAnsi="Franklin Gothic Book"/>
          <w:i/>
          <w:iCs/>
          <w:sz w:val="22"/>
          <w:szCs w:val="22"/>
        </w:rPr>
        <w:t>.</w:t>
      </w:r>
    </w:p>
    <w:tbl>
      <w:tblPr>
        <w:tblW w:w="9980" w:type="dxa"/>
        <w:tblCellMar>
          <w:left w:w="0" w:type="dxa"/>
          <w:right w:w="0" w:type="dxa"/>
        </w:tblCellMar>
        <w:tblLook w:val="04A0"/>
      </w:tblPr>
      <w:tblGrid>
        <w:gridCol w:w="2690"/>
        <w:gridCol w:w="1213"/>
        <w:gridCol w:w="1213"/>
        <w:gridCol w:w="1218"/>
        <w:gridCol w:w="1214"/>
        <w:gridCol w:w="1214"/>
        <w:gridCol w:w="1218"/>
      </w:tblGrid>
      <w:tr w:rsidR="00407716" w:rsidRPr="00407716" w:rsidTr="00015D3A">
        <w:trPr>
          <w:trHeight w:val="283"/>
        </w:trPr>
        <w:tc>
          <w:tcPr>
            <w:tcW w:w="2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07716" w:rsidRPr="00407716" w:rsidRDefault="00407716" w:rsidP="00407716">
            <w:pPr>
              <w:pStyle w:val="Tabledate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  <w:b/>
                <w:bCs/>
              </w:rPr>
              <w:t>Районы</w:t>
            </w: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07716" w:rsidRPr="00407716" w:rsidRDefault="00407716" w:rsidP="00407716">
            <w:pPr>
              <w:pStyle w:val="Tabledate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  <w:b/>
                <w:bCs/>
              </w:rPr>
              <w:t>Комнаты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07716" w:rsidRPr="00407716" w:rsidRDefault="00407716" w:rsidP="00407716">
            <w:pPr>
              <w:pStyle w:val="Tabledate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  <w:b/>
                <w:bCs/>
              </w:rPr>
              <w:t>Однокомнатные квартиры</w:t>
            </w:r>
          </w:p>
        </w:tc>
      </w:tr>
      <w:tr w:rsidR="00F43869" w:rsidRPr="00407716" w:rsidTr="00015D3A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869" w:rsidRPr="00407716" w:rsidRDefault="00F43869" w:rsidP="00407716">
            <w:pPr>
              <w:pStyle w:val="Tabledate"/>
              <w:rPr>
                <w:rFonts w:ascii="Franklin Gothic Book" w:hAnsi="Franklin Gothic Boo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2013 г.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изменение </w:t>
            </w:r>
          </w:p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за год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2013 г.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изменение </w:t>
            </w:r>
          </w:p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за год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Адмиралтейский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724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-8.33%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1 647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1 552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-5.72%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Василеостровский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-9.61%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1 815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1 883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3.73%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Выборгский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689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32.59%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1 555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1 559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0.25%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lastRenderedPageBreak/>
              <w:t>Калининский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633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10.53%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1 467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1 464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-0.21%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Кировский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578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595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2.96%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1 563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1 712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9.52%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Красногвардейский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9.09%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1 338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1 291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-3.50%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proofErr w:type="spellStart"/>
            <w:r w:rsidRPr="00407716">
              <w:rPr>
                <w:rFonts w:ascii="Franklin Gothic Book" w:hAnsi="Franklin Gothic Book"/>
              </w:rPr>
              <w:t>Красносельский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1 400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1 653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18.10%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Московский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706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14.02%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1 525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1 500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-1.64%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Невский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433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-33.33%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1 440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1 467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1.86%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Петроградский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917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833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-9.21%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1 545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1 869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20.95%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Приморский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623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24.68%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1 568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1 559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-0.60%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proofErr w:type="spellStart"/>
            <w:r w:rsidRPr="00407716">
              <w:rPr>
                <w:rFonts w:ascii="Franklin Gothic Book" w:hAnsi="Franklin Gothic Book"/>
              </w:rPr>
              <w:t>Фрунзенский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-28.58%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1 617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1 556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-3.75%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Центральный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14.41%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1 880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1 810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-3.74%</w:t>
            </w:r>
          </w:p>
        </w:tc>
      </w:tr>
    </w:tbl>
    <w:p w:rsidR="00FB5612" w:rsidRPr="00E86AF0" w:rsidRDefault="00FB5612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tbl>
      <w:tblPr>
        <w:tblW w:w="9980" w:type="dxa"/>
        <w:tblCellMar>
          <w:left w:w="0" w:type="dxa"/>
          <w:right w:w="0" w:type="dxa"/>
        </w:tblCellMar>
        <w:tblLook w:val="04A0"/>
      </w:tblPr>
      <w:tblGrid>
        <w:gridCol w:w="2690"/>
        <w:gridCol w:w="1213"/>
        <w:gridCol w:w="1213"/>
        <w:gridCol w:w="1218"/>
        <w:gridCol w:w="1214"/>
        <w:gridCol w:w="1214"/>
        <w:gridCol w:w="1218"/>
      </w:tblGrid>
      <w:tr w:rsidR="00407716" w:rsidRPr="00407716" w:rsidTr="00015D3A">
        <w:trPr>
          <w:trHeight w:val="283"/>
        </w:trPr>
        <w:tc>
          <w:tcPr>
            <w:tcW w:w="2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07716" w:rsidRPr="00407716" w:rsidRDefault="00407716" w:rsidP="00407716">
            <w:pPr>
              <w:pStyle w:val="Tabledate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  <w:b/>
                <w:bCs/>
              </w:rPr>
              <w:t>Районы</w:t>
            </w: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07716" w:rsidRPr="00407716" w:rsidRDefault="00407716" w:rsidP="00407716">
            <w:pPr>
              <w:pStyle w:val="Tabledate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  <w:b/>
                <w:bCs/>
              </w:rPr>
              <w:t>Двухкомнатные квартиры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07716" w:rsidRPr="00407716" w:rsidRDefault="00407716" w:rsidP="00407716">
            <w:pPr>
              <w:pStyle w:val="Tabledate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  <w:b/>
                <w:bCs/>
              </w:rPr>
              <w:t>Трехкомнатные квартиры</w:t>
            </w:r>
          </w:p>
        </w:tc>
      </w:tr>
      <w:tr w:rsidR="00F43869" w:rsidRPr="00407716" w:rsidTr="00015D3A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869" w:rsidRPr="00407716" w:rsidRDefault="00F43869" w:rsidP="00407716">
            <w:pPr>
              <w:pStyle w:val="Tabledate"/>
              <w:rPr>
                <w:rFonts w:ascii="Franklin Gothic Book" w:hAnsi="Franklin Gothic Boo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2013 г.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изменение </w:t>
            </w:r>
          </w:p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за год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2013 г.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изменение </w:t>
            </w:r>
          </w:p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за год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Адмиралтейский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2 149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2 118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-1.48%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2 487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3 128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25.80%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Василеостровский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2 382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2 686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12.79%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3 039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2 744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-9.70%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Выборгский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2 212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2 435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10.09%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2 953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Калининский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2 377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2 091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-12.03%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Кировский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1 956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2 438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24.60%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2 106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Красногвардейский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2 036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2 571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26.28%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proofErr w:type="spellStart"/>
            <w:r w:rsidRPr="00407716">
              <w:rPr>
                <w:rFonts w:ascii="Franklin Gothic Book" w:hAnsi="Franklin Gothic Book"/>
              </w:rPr>
              <w:t>Красносельский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1 967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Московский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2 280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2 261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-0.82%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2 633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2 900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10.13%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Невский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2 027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2 027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-0.01%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Петроградский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1 998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2 064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3.28%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3 375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Приморский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2 215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2 177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-1.70%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2 846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2 971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4.41%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proofErr w:type="spellStart"/>
            <w:r w:rsidRPr="00407716">
              <w:rPr>
                <w:rFonts w:ascii="Franklin Gothic Book" w:hAnsi="Franklin Gothic Book"/>
              </w:rPr>
              <w:t>Фрунзенский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2 023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2 267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12.04%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2 333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F43869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407716" w:rsidRDefault="00F43869" w:rsidP="00407716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Центральный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2 521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2 534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0.52%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3 603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3 473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43869" w:rsidRPr="00F43869" w:rsidRDefault="00F43869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43869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-3.62%</w:t>
            </w:r>
          </w:p>
        </w:tc>
      </w:tr>
    </w:tbl>
    <w:p w:rsidR="00AF2275" w:rsidRPr="00E86AF0" w:rsidRDefault="00AF2275" w:rsidP="003D5CD3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F43869" w:rsidRPr="00F43869" w:rsidRDefault="00F43869" w:rsidP="00F43869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F43869">
        <w:rPr>
          <w:rFonts w:ascii="Franklin Gothic Book" w:hAnsi="Franklin Gothic Book"/>
          <w:sz w:val="22"/>
          <w:szCs w:val="22"/>
        </w:rPr>
        <w:t xml:space="preserve">Объем предложения (количество первичных заявок на сдачу) на конец декабря 2014 года составил 9,9 тысячи объектов (из них 6,8 тысячи квартир и 3,1 тысячи комнат). В целом это на 19% ниже показателя в декабре 2013 года. Максимальный объем предложения за прошедший год зафиксирован в апреле 2014 года и составил 12,6 тысячи объектов на рынке аренды типового жилья. </w:t>
      </w:r>
    </w:p>
    <w:p w:rsidR="00767540" w:rsidRPr="00407716" w:rsidRDefault="00767540" w:rsidP="00407716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E429E4" w:rsidRPr="00E86AF0" w:rsidRDefault="00846450" w:rsidP="00846450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Объем предложения</w:t>
      </w:r>
    </w:p>
    <w:p w:rsidR="00846450" w:rsidRDefault="00F43869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F43869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>
            <wp:extent cx="6152515" cy="2098040"/>
            <wp:effectExtent l="19050" t="0" r="19685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5612" w:rsidRPr="00407716" w:rsidRDefault="00407716" w:rsidP="00FC23C5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</w:t>
      </w:r>
      <w:r w:rsidRPr="00407716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69847"/>
            <wp:effectExtent l="19050" t="0" r="0" b="0"/>
            <wp:docPr id="67" name="Рисунок 29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6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33" w:rsidRDefault="00513233" w:rsidP="00015D3A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513233" w:rsidRDefault="00513233" w:rsidP="00015D3A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F43869" w:rsidRPr="00F43869" w:rsidRDefault="00F43869" w:rsidP="00F43869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F43869">
        <w:rPr>
          <w:rFonts w:ascii="Franklin Gothic Book" w:hAnsi="Franklin Gothic Book"/>
          <w:sz w:val="22"/>
          <w:szCs w:val="22"/>
        </w:rPr>
        <w:t xml:space="preserve">Объем спроса (количество первичных заявок на съем жилья) </w:t>
      </w:r>
      <w:proofErr w:type="gramStart"/>
      <w:r w:rsidRPr="00F43869">
        <w:rPr>
          <w:rFonts w:ascii="Franklin Gothic Book" w:hAnsi="Franklin Gothic Book"/>
          <w:sz w:val="22"/>
          <w:szCs w:val="22"/>
        </w:rPr>
        <w:t>на конец</w:t>
      </w:r>
      <w:proofErr w:type="gramEnd"/>
      <w:r w:rsidRPr="00F43869">
        <w:rPr>
          <w:rFonts w:ascii="Franklin Gothic Book" w:hAnsi="Franklin Gothic Book"/>
          <w:sz w:val="22"/>
          <w:szCs w:val="22"/>
        </w:rPr>
        <w:t xml:space="preserve"> 2014 года составил около одной тысячи объектов (из них 660 желающих снять квартиру и 322 – комнату). Максимальный объем спроса за прошедший год зафиксирован в сентябре 2014 года и составил 2 тысячи заявок об аренде типового жилья. </w:t>
      </w:r>
    </w:p>
    <w:p w:rsidR="001C787C" w:rsidRPr="00E86AF0" w:rsidRDefault="001C787C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F43869" w:rsidRDefault="00F43869" w:rsidP="001C787C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E429E4" w:rsidRPr="00E86AF0" w:rsidRDefault="001C787C" w:rsidP="001C787C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lastRenderedPageBreak/>
        <w:t>Активность спроса</w:t>
      </w:r>
    </w:p>
    <w:p w:rsidR="001C787C" w:rsidRDefault="00F43869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F43869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>
            <wp:extent cx="6152515" cy="2097405"/>
            <wp:effectExtent l="19050" t="0" r="19685" b="0"/>
            <wp:docPr id="1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C787C" w:rsidRPr="00E86AF0" w:rsidRDefault="00407716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</w:t>
      </w:r>
      <w:r w:rsidRPr="00407716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69847"/>
            <wp:effectExtent l="19050" t="0" r="0" b="0"/>
            <wp:docPr id="69" name="Рисунок 29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6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12" w:rsidRPr="00E86AF0" w:rsidRDefault="00FB5612" w:rsidP="00FC23C5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1D2206" w:rsidRDefault="001D2206" w:rsidP="00015D3A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F43869" w:rsidRPr="00F43869" w:rsidRDefault="00F43869" w:rsidP="00F43869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F43869">
        <w:rPr>
          <w:rFonts w:ascii="Franklin Gothic Book" w:hAnsi="Franklin Gothic Book"/>
          <w:sz w:val="22"/>
          <w:szCs w:val="22"/>
        </w:rPr>
        <w:t xml:space="preserve">Наиболее востребованными на рынке аренды типового жилья по-прежнему остаются комнаты и однокомнатные квартиры, их доля </w:t>
      </w:r>
      <w:proofErr w:type="gramStart"/>
      <w:r w:rsidRPr="00F43869">
        <w:rPr>
          <w:rFonts w:ascii="Franklin Gothic Book" w:hAnsi="Franklin Gothic Book"/>
          <w:sz w:val="22"/>
          <w:szCs w:val="22"/>
        </w:rPr>
        <w:t>на конец</w:t>
      </w:r>
      <w:proofErr w:type="gramEnd"/>
      <w:r w:rsidRPr="00F43869">
        <w:rPr>
          <w:rFonts w:ascii="Franklin Gothic Book" w:hAnsi="Franklin Gothic Book"/>
          <w:sz w:val="22"/>
          <w:szCs w:val="22"/>
        </w:rPr>
        <w:t xml:space="preserve"> 2014 года составляет 35 и 36,1% от всего спроса. Также востребованы двухкомнатные квартиры – 18% от всех заявок на съем. Доля запросов по аренде трехкомнатных квартир не превышает 5,9%. На квартиры с большим числом комнат приходится 5% от общего объема спроса на рынке аренды жилья Петербурга. </w:t>
      </w:r>
    </w:p>
    <w:p w:rsidR="001C787C" w:rsidRPr="00E86AF0" w:rsidRDefault="001C787C" w:rsidP="001C787C">
      <w:pPr>
        <w:pStyle w:val="Tabledate"/>
        <w:jc w:val="left"/>
        <w:rPr>
          <w:rFonts w:ascii="Franklin Gothic Book" w:hAnsi="Franklin Gothic Book" w:cs="Times New Roman"/>
          <w:sz w:val="24"/>
          <w:szCs w:val="24"/>
        </w:rPr>
      </w:pPr>
    </w:p>
    <w:p w:rsidR="00846450" w:rsidRDefault="001C787C" w:rsidP="002F2DCE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Структура спроса по типу квартир, % от общего объема</w:t>
      </w:r>
      <w:r w:rsidR="0013447D" w:rsidRPr="00E86AF0">
        <w:rPr>
          <w:rFonts w:ascii="Franklin Gothic Book" w:hAnsi="Franklin Gothic Book" w:cs="Times New Roman"/>
          <w:sz w:val="22"/>
          <w:szCs w:val="22"/>
        </w:rPr>
        <w:t xml:space="preserve">  </w:t>
      </w:r>
      <w:r w:rsidR="001877EF">
        <w:rPr>
          <w:rFonts w:ascii="Franklin Gothic Book" w:hAnsi="Franklin Gothic Book" w:cs="Times New Roman"/>
          <w:sz w:val="22"/>
          <w:szCs w:val="22"/>
        </w:rPr>
        <w:t xml:space="preserve"> </w:t>
      </w:r>
    </w:p>
    <w:p w:rsidR="00407716" w:rsidRDefault="00F43869" w:rsidP="002F2DCE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F43869">
        <w:rPr>
          <w:rFonts w:ascii="Franklin Gothic Book" w:hAnsi="Franklin Gothic Book"/>
          <w:i/>
          <w:iCs/>
          <w:sz w:val="22"/>
          <w:szCs w:val="22"/>
        </w:rPr>
        <w:drawing>
          <wp:inline distT="0" distB="0" distL="0" distR="0">
            <wp:extent cx="2952000" cy="1728000"/>
            <wp:effectExtent l="19050" t="0" r="19800" b="5550"/>
            <wp:docPr id="1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407716">
        <w:rPr>
          <w:rFonts w:ascii="Franklin Gothic Book" w:hAnsi="Franklin Gothic Book"/>
          <w:i/>
          <w:iCs/>
          <w:sz w:val="22"/>
          <w:szCs w:val="22"/>
        </w:rPr>
        <w:t xml:space="preserve">     </w:t>
      </w:r>
      <w:r w:rsidRPr="00F43869">
        <w:rPr>
          <w:rFonts w:ascii="Franklin Gothic Book" w:hAnsi="Franklin Gothic Book"/>
          <w:i/>
          <w:iCs/>
          <w:sz w:val="22"/>
          <w:szCs w:val="22"/>
        </w:rPr>
        <w:drawing>
          <wp:inline distT="0" distB="0" distL="0" distR="0">
            <wp:extent cx="2952000" cy="1728000"/>
            <wp:effectExtent l="19050" t="0" r="19800" b="5550"/>
            <wp:docPr id="1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07716" w:rsidRPr="001877EF" w:rsidRDefault="00407716" w:rsidP="002F2DCE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>
        <w:rPr>
          <w:rFonts w:ascii="Franklin Gothic Book" w:hAnsi="Franklin Gothic Book"/>
          <w:i/>
          <w:iCs/>
          <w:sz w:val="22"/>
          <w:szCs w:val="22"/>
        </w:rPr>
        <w:t xml:space="preserve">  </w:t>
      </w:r>
      <w:r w:rsidRPr="00407716">
        <w:rPr>
          <w:rFonts w:ascii="Franklin Gothic Book" w:hAnsi="Franklin Gothic Book"/>
          <w:i/>
          <w:iCs/>
          <w:noProof/>
          <w:sz w:val="22"/>
          <w:szCs w:val="22"/>
        </w:rPr>
        <w:drawing>
          <wp:inline distT="0" distB="0" distL="0" distR="0">
            <wp:extent cx="1223962" cy="185737"/>
            <wp:effectExtent l="19050" t="0" r="0" b="0"/>
            <wp:docPr id="75" name="Рисунок 36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i/>
          <w:iCs/>
          <w:sz w:val="22"/>
          <w:szCs w:val="22"/>
        </w:rPr>
        <w:t xml:space="preserve">                                                      </w:t>
      </w:r>
      <w:r w:rsidRPr="00407716">
        <w:rPr>
          <w:rFonts w:ascii="Franklin Gothic Book" w:hAnsi="Franklin Gothic Book"/>
          <w:i/>
          <w:iCs/>
          <w:noProof/>
          <w:sz w:val="22"/>
          <w:szCs w:val="22"/>
        </w:rPr>
        <w:drawing>
          <wp:inline distT="0" distB="0" distL="0" distR="0">
            <wp:extent cx="1223962" cy="185737"/>
            <wp:effectExtent l="19050" t="0" r="0" b="0"/>
            <wp:docPr id="79" name="Рисунок 36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926" w:rsidRPr="00E86AF0" w:rsidRDefault="000B3926" w:rsidP="00B157D1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1D2206" w:rsidRDefault="001D2206" w:rsidP="00015D3A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233168" w:rsidRPr="00233168" w:rsidRDefault="00233168" w:rsidP="00233168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proofErr w:type="gramStart"/>
      <w:r w:rsidRPr="00233168">
        <w:rPr>
          <w:rFonts w:ascii="Franklin Gothic Book" w:hAnsi="Franklin Gothic Book"/>
          <w:sz w:val="22"/>
          <w:szCs w:val="22"/>
        </w:rPr>
        <w:t>Лидерами спроса по типам и местоположению в декабре 2014 года на рынке аренды типового жилья являются однокомнатные квартиры в Московском и Приморском районах по цене до 21,7 и 21,1 тыс. руб. в месяц соответственно.</w:t>
      </w:r>
      <w:proofErr w:type="gramEnd"/>
      <w:r w:rsidRPr="00233168">
        <w:rPr>
          <w:rFonts w:ascii="Franklin Gothic Book" w:hAnsi="Franklin Gothic Book"/>
          <w:sz w:val="22"/>
          <w:szCs w:val="22"/>
        </w:rPr>
        <w:t xml:space="preserve"> Популярностью у арендаторов также пользуются комнаты в Невском и Центральном районах, средняя цена спроса составляет до 11,1 и 12,9 тыс. руб. в месяц соответственно.</w:t>
      </w:r>
    </w:p>
    <w:p w:rsidR="000B3926" w:rsidRPr="006D5CCC" w:rsidRDefault="000B3926" w:rsidP="006D5CCC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E429E4" w:rsidRDefault="001C787C" w:rsidP="001C787C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Рейтинг популярности по спросу</w:t>
      </w:r>
    </w:p>
    <w:tbl>
      <w:tblPr>
        <w:tblW w:w="9980" w:type="dxa"/>
        <w:tblCellMar>
          <w:left w:w="0" w:type="dxa"/>
          <w:right w:w="0" w:type="dxa"/>
        </w:tblCellMar>
        <w:tblLook w:val="04A0"/>
      </w:tblPr>
      <w:tblGrid>
        <w:gridCol w:w="1178"/>
        <w:gridCol w:w="2933"/>
        <w:gridCol w:w="2935"/>
        <w:gridCol w:w="2934"/>
      </w:tblGrid>
      <w:tr w:rsidR="002B315E" w:rsidRPr="002B315E" w:rsidTr="00015D3A">
        <w:trPr>
          <w:trHeight w:val="453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B9553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B315E" w:rsidRPr="002B315E" w:rsidRDefault="002B315E" w:rsidP="002B315E">
            <w:pPr>
              <w:pStyle w:val="Tabledate"/>
              <w:rPr>
                <w:rFonts w:ascii="Franklin Gothic Book" w:hAnsi="Franklin Gothic Book"/>
                <w:iCs/>
              </w:rPr>
            </w:pPr>
            <w:r w:rsidRPr="002B315E">
              <w:rPr>
                <w:rFonts w:ascii="Franklin Gothic Book" w:hAnsi="Franklin Gothic Book"/>
                <w:b/>
                <w:bCs/>
                <w:iCs/>
              </w:rPr>
              <w:t>Место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B9553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B315E" w:rsidRPr="002B315E" w:rsidRDefault="002B315E" w:rsidP="002B315E">
            <w:pPr>
              <w:pStyle w:val="Tabledate"/>
              <w:rPr>
                <w:rFonts w:ascii="Franklin Gothic Book" w:hAnsi="Franklin Gothic Book"/>
                <w:iCs/>
              </w:rPr>
            </w:pPr>
            <w:r w:rsidRPr="002B315E">
              <w:rPr>
                <w:rFonts w:ascii="Franklin Gothic Book" w:hAnsi="Franklin Gothic Book"/>
                <w:b/>
                <w:bCs/>
                <w:iCs/>
              </w:rPr>
              <w:t>Объект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B9553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B315E" w:rsidRPr="002B315E" w:rsidRDefault="002B315E" w:rsidP="002B315E">
            <w:pPr>
              <w:pStyle w:val="Tabledate"/>
              <w:rPr>
                <w:rFonts w:ascii="Franklin Gothic Book" w:hAnsi="Franklin Gothic Book"/>
                <w:iCs/>
              </w:rPr>
            </w:pPr>
            <w:r w:rsidRPr="002B315E">
              <w:rPr>
                <w:rFonts w:ascii="Franklin Gothic Book" w:hAnsi="Franklin Gothic Book"/>
                <w:b/>
                <w:bCs/>
                <w:iCs/>
              </w:rPr>
              <w:t>Район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B9553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B315E" w:rsidRPr="002B315E" w:rsidRDefault="002B315E" w:rsidP="002B315E">
            <w:pPr>
              <w:pStyle w:val="Tabledate"/>
              <w:rPr>
                <w:rFonts w:ascii="Franklin Gothic Book" w:hAnsi="Franklin Gothic Book"/>
                <w:iCs/>
              </w:rPr>
            </w:pPr>
            <w:r w:rsidRPr="002B315E">
              <w:rPr>
                <w:rFonts w:ascii="Franklin Gothic Book" w:hAnsi="Franklin Gothic Book"/>
                <w:b/>
                <w:bCs/>
                <w:iCs/>
              </w:rPr>
              <w:t>Средняя цена (руб./мес.)</w:t>
            </w:r>
          </w:p>
        </w:tc>
      </w:tr>
      <w:tr w:rsidR="00233168" w:rsidRPr="002B315E" w:rsidTr="00015D3A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F02207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0220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Московский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21 717.4</w:t>
            </w:r>
          </w:p>
        </w:tc>
      </w:tr>
      <w:tr w:rsidR="00233168" w:rsidRPr="002B315E" w:rsidTr="00015D3A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F02207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0220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Приморский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21 101.9</w:t>
            </w:r>
          </w:p>
        </w:tc>
      </w:tr>
      <w:tr w:rsidR="00233168" w:rsidRPr="002B315E" w:rsidTr="00015D3A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F02207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0220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1комн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Невский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11 119.1</w:t>
            </w:r>
          </w:p>
        </w:tc>
      </w:tr>
      <w:tr w:rsidR="00233168" w:rsidRPr="002B315E" w:rsidTr="00015D3A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F02207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0220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1комн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Центральный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12 850.1</w:t>
            </w:r>
          </w:p>
        </w:tc>
      </w:tr>
      <w:tr w:rsidR="00233168" w:rsidRPr="002B315E" w:rsidTr="00015D3A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F02207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0220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20 055.6</w:t>
            </w:r>
          </w:p>
        </w:tc>
      </w:tr>
      <w:tr w:rsidR="00233168" w:rsidRPr="002B315E" w:rsidTr="00015D3A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F02207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0220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Невский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20 187.5</w:t>
            </w:r>
          </w:p>
        </w:tc>
      </w:tr>
      <w:tr w:rsidR="00233168" w:rsidRPr="002B315E" w:rsidTr="00015D3A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F02207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0220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1комн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10 687.5</w:t>
            </w:r>
          </w:p>
        </w:tc>
      </w:tr>
      <w:tr w:rsidR="00233168" w:rsidRPr="002B315E" w:rsidTr="00015D3A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F02207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0220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Московский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27 375.1</w:t>
            </w:r>
          </w:p>
        </w:tc>
      </w:tr>
      <w:tr w:rsidR="00233168" w:rsidRPr="002B315E" w:rsidTr="00015D3A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F02207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0220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Выборгский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20 071.4</w:t>
            </w:r>
          </w:p>
        </w:tc>
      </w:tr>
      <w:tr w:rsidR="00233168" w:rsidRPr="002B315E" w:rsidTr="00015D3A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F02207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0220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2ккв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Невский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33168" w:rsidRPr="00233168" w:rsidRDefault="00233168">
            <w:pPr>
              <w:pStyle w:val="a5"/>
              <w:spacing w:before="0" w:beforeAutospacing="0" w:after="0" w:afterAutospacing="0" w:line="265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23316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26 076.9</w:t>
            </w:r>
          </w:p>
        </w:tc>
      </w:tr>
    </w:tbl>
    <w:p w:rsidR="00F02207" w:rsidRDefault="00F02207" w:rsidP="006D5CCC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233168" w:rsidRPr="00233168" w:rsidRDefault="00233168" w:rsidP="00233168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233168">
        <w:rPr>
          <w:rFonts w:ascii="Franklin Gothic Book" w:hAnsi="Franklin Gothic Book"/>
          <w:sz w:val="22"/>
          <w:szCs w:val="22"/>
        </w:rPr>
        <w:t xml:space="preserve">Самыми популярными у арендаторов на рынке типового жилья в декабре 2014 года являются </w:t>
      </w:r>
      <w:proofErr w:type="spellStart"/>
      <w:r w:rsidRPr="00233168">
        <w:rPr>
          <w:rFonts w:ascii="Franklin Gothic Book" w:hAnsi="Franklin Gothic Book"/>
          <w:sz w:val="22"/>
          <w:szCs w:val="22"/>
        </w:rPr>
        <w:t>Фрунзенский</w:t>
      </w:r>
      <w:proofErr w:type="spellEnd"/>
      <w:r w:rsidRPr="00233168">
        <w:rPr>
          <w:rFonts w:ascii="Franklin Gothic Book" w:hAnsi="Franklin Gothic Book"/>
          <w:sz w:val="22"/>
          <w:szCs w:val="22"/>
        </w:rPr>
        <w:t xml:space="preserve">, Московский и Выборгский районы Петербурга, они составляют 13, 10,7 и 10,4% от всего </w:t>
      </w:r>
      <w:r w:rsidRPr="00233168">
        <w:rPr>
          <w:rFonts w:ascii="Franklin Gothic Book" w:hAnsi="Franklin Gothic Book"/>
          <w:sz w:val="22"/>
          <w:szCs w:val="22"/>
        </w:rPr>
        <w:lastRenderedPageBreak/>
        <w:t xml:space="preserve">спроса. Также большим спросом пользуется жилье </w:t>
      </w:r>
      <w:proofErr w:type="gramStart"/>
      <w:r w:rsidRPr="00233168">
        <w:rPr>
          <w:rFonts w:ascii="Franklin Gothic Book" w:hAnsi="Franklin Gothic Book"/>
          <w:sz w:val="22"/>
          <w:szCs w:val="22"/>
        </w:rPr>
        <w:t>в</w:t>
      </w:r>
      <w:proofErr w:type="gramEnd"/>
      <w:r w:rsidRPr="00233168">
        <w:rPr>
          <w:rFonts w:ascii="Franklin Gothic Book" w:hAnsi="Franklin Gothic Book"/>
          <w:sz w:val="22"/>
          <w:szCs w:val="22"/>
        </w:rPr>
        <w:t xml:space="preserve"> </w:t>
      </w:r>
      <w:proofErr w:type="gramStart"/>
      <w:r w:rsidRPr="00233168">
        <w:rPr>
          <w:rFonts w:ascii="Franklin Gothic Book" w:hAnsi="Franklin Gothic Book"/>
          <w:sz w:val="22"/>
          <w:szCs w:val="22"/>
        </w:rPr>
        <w:t>Кировском</w:t>
      </w:r>
      <w:proofErr w:type="gramEnd"/>
      <w:r w:rsidRPr="00233168">
        <w:rPr>
          <w:rFonts w:ascii="Franklin Gothic Book" w:hAnsi="Franklin Gothic Book"/>
          <w:sz w:val="22"/>
          <w:szCs w:val="22"/>
        </w:rPr>
        <w:t xml:space="preserve"> и Приморском районах, их доли – 9,9 и 9,8% на каждый район. Наименьшим спросом пользуются Петроградский и Василеостровский районы. </w:t>
      </w:r>
    </w:p>
    <w:p w:rsidR="00FB5612" w:rsidRPr="00E86AF0" w:rsidRDefault="00FB5612" w:rsidP="00FB5612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E429E4" w:rsidRPr="00E86AF0" w:rsidRDefault="001C787C" w:rsidP="001C787C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Структура спроса по районам, % от общего объема</w:t>
      </w:r>
    </w:p>
    <w:p w:rsidR="001C787C" w:rsidRDefault="00233168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233168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>
            <wp:extent cx="6152515" cy="2044065"/>
            <wp:effectExtent l="19050" t="0" r="19685" b="0"/>
            <wp:docPr id="1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429E4" w:rsidRPr="002B315E" w:rsidRDefault="002B315E" w:rsidP="00FC23C5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</w:t>
      </w:r>
      <w:r w:rsidRPr="002B315E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81" name="Рисунок 4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C9" w:rsidRPr="00E86AF0" w:rsidRDefault="00C94CC9" w:rsidP="00FC23C5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233168" w:rsidRPr="00233168" w:rsidRDefault="00233168" w:rsidP="00233168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233168">
        <w:rPr>
          <w:rFonts w:ascii="Franklin Gothic Book" w:hAnsi="Franklin Gothic Book"/>
          <w:sz w:val="22"/>
          <w:szCs w:val="22"/>
        </w:rPr>
        <w:t xml:space="preserve">Структура спроса на рынке аренды типового жилья по диапазону цены в декабре 2014 года выглядит следующим образом. Максимальное количество запросов о съеме комнат находится в ценовом диапазоне от 10 до 11 тыс. руб. и от 12 до 13 тыс. руб. в месяц, что занимает 25 и 26,9% от всего спроса. Наибольший спрос на однокомнатные квартиры зафиксирован в диапазоне от 19 до 21 тыс. руб. в месяц, что составляет 32,8% от всех запросов по указанному типу квартир. В сегменте двухкомнатных квартир максимальное количество заявок приходится на диапазон от 24 до 27 тыс. руб. в месяц, что занимает 50,6% от всего объема. По трехкомнатным квартирам максимальный спрос зафиксирован в диапазоне цен от 30 до 35 тыс. руб. в месяц, это 38,3% от всех заявок на съем жилья по данному типу квартир. </w:t>
      </w:r>
    </w:p>
    <w:p w:rsidR="000B3926" w:rsidRPr="00E86AF0" w:rsidRDefault="000B3926" w:rsidP="001C787C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E429E4" w:rsidRDefault="001C787C" w:rsidP="001C787C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Спрос по диапазону стоимости аренды (тыс. руб./ мес.), % от общего объема</w:t>
      </w:r>
    </w:p>
    <w:p w:rsidR="00273AE5" w:rsidRPr="00E86AF0" w:rsidRDefault="00273AE5" w:rsidP="001C787C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273AE5" w:rsidRPr="00273AE5" w:rsidRDefault="00273AE5" w:rsidP="00273AE5">
      <w:pPr>
        <w:pStyle w:val="Tabledate"/>
        <w:jc w:val="left"/>
        <w:rPr>
          <w:rFonts w:ascii="Franklin Gothic Book" w:hAnsi="Franklin Gothic Book"/>
          <w:iCs/>
          <w:sz w:val="22"/>
          <w:szCs w:val="22"/>
        </w:rPr>
      </w:pPr>
      <w:r w:rsidRPr="00273AE5">
        <w:rPr>
          <w:rFonts w:ascii="Franklin Gothic Book" w:hAnsi="Franklin Gothic Book"/>
          <w:iCs/>
          <w:sz w:val="22"/>
          <w:szCs w:val="22"/>
        </w:rPr>
        <w:t>Комнаты                                                                               Однокомнатные квартиры</w:t>
      </w:r>
    </w:p>
    <w:p w:rsidR="00273AE5" w:rsidRDefault="00233168" w:rsidP="00273AE5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 w:rsidRPr="0023316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2952000" cy="1728000"/>
            <wp:effectExtent l="19050" t="0" r="19800" b="5550"/>
            <wp:docPr id="1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273AE5">
        <w:rPr>
          <w:rFonts w:ascii="Franklin Gothic Book" w:hAnsi="Franklin Gothic Book" w:cs="Times New Roman"/>
          <w:noProof/>
          <w:sz w:val="22"/>
          <w:szCs w:val="22"/>
        </w:rPr>
        <w:t xml:space="preserve">         </w:t>
      </w:r>
      <w:r w:rsidRPr="0023316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2952000" cy="1728000"/>
            <wp:effectExtent l="19050" t="0" r="19800" b="5550"/>
            <wp:docPr id="2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73AE5" w:rsidRDefault="00273AE5" w:rsidP="00273AE5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>
        <w:rPr>
          <w:rFonts w:ascii="Franklin Gothic Book" w:hAnsi="Franklin Gothic Book" w:cs="Times New Roman"/>
          <w:noProof/>
          <w:sz w:val="22"/>
          <w:szCs w:val="22"/>
        </w:rPr>
        <w:t xml:space="preserve">        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84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Times New Roman"/>
          <w:noProof/>
          <w:sz w:val="22"/>
          <w:szCs w:val="22"/>
        </w:rPr>
        <w:t xml:space="preserve">                                                          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85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E5" w:rsidRDefault="00273AE5" w:rsidP="00273AE5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</w:p>
    <w:p w:rsidR="00273AE5" w:rsidRDefault="00273AE5" w:rsidP="00273AE5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>
        <w:rPr>
          <w:rFonts w:ascii="Franklin Gothic Book" w:hAnsi="Franklin Gothic Book" w:cs="Times New Roman"/>
          <w:noProof/>
          <w:sz w:val="22"/>
          <w:szCs w:val="22"/>
        </w:rPr>
        <w:t xml:space="preserve">  Двухкомнатные квартиры                                                  Трехкомнатные квартиры</w:t>
      </w:r>
    </w:p>
    <w:p w:rsidR="00273AE5" w:rsidRDefault="00233168" w:rsidP="00273AE5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233168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>
            <wp:extent cx="2952000" cy="1728000"/>
            <wp:effectExtent l="19050" t="0" r="19800" b="5550"/>
            <wp:docPr id="2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273AE5">
        <w:rPr>
          <w:rFonts w:ascii="Franklin Gothic Book" w:hAnsi="Franklin Gothic Book" w:cs="Times New Roman"/>
          <w:sz w:val="22"/>
          <w:szCs w:val="22"/>
        </w:rPr>
        <w:t xml:space="preserve">          </w:t>
      </w:r>
      <w:r w:rsidRPr="00233168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>
            <wp:extent cx="2952000" cy="1728000"/>
            <wp:effectExtent l="19050" t="0" r="19800" b="5550"/>
            <wp:docPr id="22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73AE5" w:rsidRDefault="00273AE5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88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    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89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E5" w:rsidRPr="00E86AF0" w:rsidRDefault="00273AE5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2F2DCE" w:rsidRPr="00E86AF0" w:rsidRDefault="002F2DCE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E86AF0">
        <w:rPr>
          <w:rFonts w:ascii="Franklin Gothic Book" w:hAnsi="Franklin Gothic Book" w:cs="Times New Roman"/>
          <w:sz w:val="22"/>
          <w:szCs w:val="22"/>
        </w:rPr>
        <w:t>__________________________________________________________________________</w:t>
      </w:r>
    </w:p>
    <w:p w:rsidR="002F2DCE" w:rsidRPr="00E86AF0" w:rsidRDefault="002F2DCE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bookmarkEnd w:id="0"/>
    <w:p w:rsidR="007D0D26" w:rsidRPr="00E86AF0" w:rsidRDefault="007D0D26" w:rsidP="007D0D26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E86AF0">
        <w:rPr>
          <w:rFonts w:ascii="Franklin Gothic Book" w:hAnsi="Franklin Gothic Book" w:cs="Times New Roman"/>
          <w:sz w:val="22"/>
          <w:szCs w:val="22"/>
        </w:rPr>
        <w:lastRenderedPageBreak/>
        <w:t xml:space="preserve">Отчет выполнен в соответствии с методологией Главного аналитика РГР Г.М. </w:t>
      </w:r>
      <w:proofErr w:type="spellStart"/>
      <w:r w:rsidRPr="00E86AF0">
        <w:rPr>
          <w:rFonts w:ascii="Franklin Gothic Book" w:hAnsi="Franklin Gothic Book" w:cs="Times New Roman"/>
          <w:sz w:val="22"/>
          <w:szCs w:val="22"/>
        </w:rPr>
        <w:t>Стерника</w:t>
      </w:r>
      <w:proofErr w:type="spellEnd"/>
    </w:p>
    <w:p w:rsidR="007D0D26" w:rsidRPr="00E86AF0" w:rsidRDefault="007D0D26" w:rsidP="007D0D26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7D0D26" w:rsidRPr="00E86AF0" w:rsidRDefault="007D0D26" w:rsidP="007D0D26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E86AF0">
        <w:rPr>
          <w:rFonts w:ascii="Franklin Gothic Book" w:hAnsi="Franklin Gothic Book" w:cs="Times New Roman"/>
          <w:sz w:val="22"/>
          <w:szCs w:val="22"/>
        </w:rPr>
        <w:t>Подготовлено:</w:t>
      </w:r>
      <w:r w:rsidR="00FC6B05" w:rsidRPr="00E86AF0">
        <w:rPr>
          <w:rFonts w:ascii="Franklin Gothic Book" w:hAnsi="Franklin Gothic Book" w:cs="Times New Roman"/>
          <w:sz w:val="22"/>
          <w:szCs w:val="22"/>
        </w:rPr>
        <w:t xml:space="preserve"> </w:t>
      </w:r>
    </w:p>
    <w:p w:rsidR="00BE21F2" w:rsidRPr="00E86AF0" w:rsidRDefault="00BE21F2" w:rsidP="00BE21F2">
      <w:pPr>
        <w:spacing w:after="0"/>
        <w:rPr>
          <w:rFonts w:ascii="Franklin Gothic Book" w:hAnsi="Franklin Gothic Book"/>
        </w:rPr>
      </w:pPr>
      <w:proofErr w:type="spellStart"/>
      <w:r w:rsidRPr="00E86AF0">
        <w:rPr>
          <w:rFonts w:ascii="Franklin Gothic Book" w:hAnsi="Franklin Gothic Book"/>
        </w:rPr>
        <w:t>Бент</w:t>
      </w:r>
      <w:proofErr w:type="spellEnd"/>
      <w:r w:rsidRPr="00E86AF0">
        <w:rPr>
          <w:rFonts w:ascii="Franklin Gothic Book" w:hAnsi="Franklin Gothic Book"/>
        </w:rPr>
        <w:t xml:space="preserve"> М.А., САРН, ООО «ГК «Бюллетень Недвижимости»</w:t>
      </w:r>
    </w:p>
    <w:p w:rsidR="007D0D26" w:rsidRPr="00E86AF0" w:rsidRDefault="007D0D26" w:rsidP="007D0D26">
      <w:pPr>
        <w:spacing w:after="0"/>
        <w:rPr>
          <w:rFonts w:ascii="Franklin Gothic Book" w:hAnsi="Franklin Gothic Book"/>
          <w:lang w:val="en-US"/>
        </w:rPr>
      </w:pPr>
      <w:r w:rsidRPr="00E86AF0">
        <w:rPr>
          <w:rFonts w:ascii="Franklin Gothic Book" w:hAnsi="Franklin Gothic Book"/>
        </w:rPr>
        <w:t>тел</w:t>
      </w:r>
      <w:r w:rsidRPr="00E86AF0">
        <w:rPr>
          <w:rFonts w:ascii="Franklin Gothic Book" w:hAnsi="Franklin Gothic Book"/>
          <w:lang w:val="en-US"/>
        </w:rPr>
        <w:t>. (812) 32</w:t>
      </w:r>
      <w:r w:rsidR="000B3926" w:rsidRPr="00E86AF0">
        <w:rPr>
          <w:rFonts w:ascii="Franklin Gothic Book" w:hAnsi="Franklin Gothic Book"/>
          <w:lang w:val="en-US"/>
        </w:rPr>
        <w:t>5-06-</w:t>
      </w:r>
      <w:r w:rsidRPr="00E86AF0">
        <w:rPr>
          <w:rFonts w:ascii="Franklin Gothic Book" w:hAnsi="Franklin Gothic Book"/>
          <w:lang w:val="en-US"/>
        </w:rPr>
        <w:t>8</w:t>
      </w:r>
      <w:r w:rsidR="000B3926" w:rsidRPr="00E86AF0">
        <w:rPr>
          <w:rFonts w:ascii="Franklin Gothic Book" w:hAnsi="Franklin Gothic Book"/>
          <w:lang w:val="en-US"/>
        </w:rPr>
        <w:t>1</w:t>
      </w:r>
      <w:r w:rsidRPr="00E86AF0">
        <w:rPr>
          <w:rFonts w:ascii="Franklin Gothic Book" w:hAnsi="Franklin Gothic Book"/>
          <w:lang w:val="en-US"/>
        </w:rPr>
        <w:t xml:space="preserve">, e-mail: </w:t>
      </w:r>
      <w:hyperlink r:id="rId26" w:history="1">
        <w:r w:rsidRPr="00E86AF0">
          <w:rPr>
            <w:rStyle w:val="a6"/>
            <w:rFonts w:ascii="Franklin Gothic Book" w:hAnsi="Franklin Gothic Book"/>
            <w:lang w:val="en-US"/>
          </w:rPr>
          <w:t>analitika@bn.ru</w:t>
        </w:r>
      </w:hyperlink>
      <w:r w:rsidRPr="00E86AF0">
        <w:rPr>
          <w:rFonts w:ascii="Franklin Gothic Book" w:hAnsi="Franklin Gothic Book"/>
          <w:lang w:val="en-US"/>
        </w:rPr>
        <w:t xml:space="preserve">, </w:t>
      </w:r>
    </w:p>
    <w:p w:rsidR="007D0D26" w:rsidRPr="00E86AF0" w:rsidRDefault="007D0D26" w:rsidP="007D0D26">
      <w:pPr>
        <w:spacing w:after="0"/>
        <w:rPr>
          <w:rFonts w:ascii="Franklin Gothic Book" w:hAnsi="Franklin Gothic Book"/>
        </w:rPr>
      </w:pPr>
      <w:proofErr w:type="gramStart"/>
      <w:r w:rsidRPr="00E86AF0">
        <w:rPr>
          <w:rFonts w:ascii="Franklin Gothic Book" w:hAnsi="Franklin Gothic Book"/>
          <w:lang w:val="en-US"/>
        </w:rPr>
        <w:t>web-</w:t>
      </w:r>
      <w:r w:rsidRPr="00E86AF0">
        <w:rPr>
          <w:rFonts w:ascii="Franklin Gothic Book" w:hAnsi="Franklin Gothic Book"/>
        </w:rPr>
        <w:t>сайт</w:t>
      </w:r>
      <w:proofErr w:type="gramEnd"/>
      <w:r w:rsidRPr="00E86AF0">
        <w:rPr>
          <w:rFonts w:ascii="Franklin Gothic Book" w:hAnsi="Franklin Gothic Book"/>
          <w:lang w:val="en-US"/>
        </w:rPr>
        <w:t>: www.bn.ru</w:t>
      </w:r>
    </w:p>
    <w:p w:rsidR="00954379" w:rsidRPr="00E86AF0" w:rsidRDefault="00954379" w:rsidP="00AC0B4E">
      <w:pPr>
        <w:rPr>
          <w:rFonts w:ascii="Franklin Gothic Book" w:hAnsi="Franklin Gothic Book"/>
          <w:noProof/>
          <w:lang w:eastAsia="ru-RU"/>
        </w:rPr>
      </w:pPr>
    </w:p>
    <w:sectPr w:rsidR="00954379" w:rsidRPr="00E86AF0" w:rsidSect="003318E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fficinaSans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604"/>
    <w:rsid w:val="00011033"/>
    <w:rsid w:val="00015D3A"/>
    <w:rsid w:val="00051913"/>
    <w:rsid w:val="00074140"/>
    <w:rsid w:val="000B3926"/>
    <w:rsid w:val="000C5586"/>
    <w:rsid w:val="001314DB"/>
    <w:rsid w:val="0013447D"/>
    <w:rsid w:val="0015437A"/>
    <w:rsid w:val="00157FD1"/>
    <w:rsid w:val="001877EF"/>
    <w:rsid w:val="00196F44"/>
    <w:rsid w:val="001A117F"/>
    <w:rsid w:val="001C787C"/>
    <w:rsid w:val="001D2206"/>
    <w:rsid w:val="001F1AD1"/>
    <w:rsid w:val="00201AFA"/>
    <w:rsid w:val="0022099D"/>
    <w:rsid w:val="00233168"/>
    <w:rsid w:val="00243E1E"/>
    <w:rsid w:val="00270E7F"/>
    <w:rsid w:val="00273AE5"/>
    <w:rsid w:val="00280870"/>
    <w:rsid w:val="002B315E"/>
    <w:rsid w:val="002C5CC4"/>
    <w:rsid w:val="002E4571"/>
    <w:rsid w:val="002F2DCE"/>
    <w:rsid w:val="003254D4"/>
    <w:rsid w:val="003318EE"/>
    <w:rsid w:val="00342801"/>
    <w:rsid w:val="003446BF"/>
    <w:rsid w:val="003513D5"/>
    <w:rsid w:val="003624CB"/>
    <w:rsid w:val="00396335"/>
    <w:rsid w:val="003B5E79"/>
    <w:rsid w:val="003D5CD3"/>
    <w:rsid w:val="00400E3A"/>
    <w:rsid w:val="00405A49"/>
    <w:rsid w:val="00407716"/>
    <w:rsid w:val="004214AC"/>
    <w:rsid w:val="00426073"/>
    <w:rsid w:val="00432ABD"/>
    <w:rsid w:val="00442477"/>
    <w:rsid w:val="00444BF6"/>
    <w:rsid w:val="00462D21"/>
    <w:rsid w:val="0046484C"/>
    <w:rsid w:val="00464F30"/>
    <w:rsid w:val="00492086"/>
    <w:rsid w:val="0049212B"/>
    <w:rsid w:val="004B2BCE"/>
    <w:rsid w:val="004B38DE"/>
    <w:rsid w:val="004C5665"/>
    <w:rsid w:val="004C7BD9"/>
    <w:rsid w:val="004D3EEB"/>
    <w:rsid w:val="004F06CE"/>
    <w:rsid w:val="004F4051"/>
    <w:rsid w:val="004F66C6"/>
    <w:rsid w:val="00513233"/>
    <w:rsid w:val="0052071C"/>
    <w:rsid w:val="005241A2"/>
    <w:rsid w:val="00563F27"/>
    <w:rsid w:val="005719A7"/>
    <w:rsid w:val="0057444F"/>
    <w:rsid w:val="00591D0D"/>
    <w:rsid w:val="005E1284"/>
    <w:rsid w:val="00626EEC"/>
    <w:rsid w:val="006337C7"/>
    <w:rsid w:val="00690ACD"/>
    <w:rsid w:val="00692565"/>
    <w:rsid w:val="006B1C7B"/>
    <w:rsid w:val="006D5CCC"/>
    <w:rsid w:val="006E41BB"/>
    <w:rsid w:val="006F6FC1"/>
    <w:rsid w:val="00745416"/>
    <w:rsid w:val="00750CE7"/>
    <w:rsid w:val="00767540"/>
    <w:rsid w:val="00772580"/>
    <w:rsid w:val="00776520"/>
    <w:rsid w:val="007814B1"/>
    <w:rsid w:val="007834F4"/>
    <w:rsid w:val="007904B7"/>
    <w:rsid w:val="007A092A"/>
    <w:rsid w:val="007A7DB8"/>
    <w:rsid w:val="007C3A62"/>
    <w:rsid w:val="007D0D26"/>
    <w:rsid w:val="007F4CC5"/>
    <w:rsid w:val="00806096"/>
    <w:rsid w:val="00816240"/>
    <w:rsid w:val="00821608"/>
    <w:rsid w:val="008254F5"/>
    <w:rsid w:val="00846450"/>
    <w:rsid w:val="008762A3"/>
    <w:rsid w:val="00884622"/>
    <w:rsid w:val="0088622B"/>
    <w:rsid w:val="00894196"/>
    <w:rsid w:val="0090236E"/>
    <w:rsid w:val="009054E3"/>
    <w:rsid w:val="00910B14"/>
    <w:rsid w:val="00911ED4"/>
    <w:rsid w:val="00916C83"/>
    <w:rsid w:val="00950847"/>
    <w:rsid w:val="00954379"/>
    <w:rsid w:val="009670EB"/>
    <w:rsid w:val="009870FE"/>
    <w:rsid w:val="009B1F40"/>
    <w:rsid w:val="009B2B70"/>
    <w:rsid w:val="009C318C"/>
    <w:rsid w:val="009D15EC"/>
    <w:rsid w:val="009F496D"/>
    <w:rsid w:val="00A17664"/>
    <w:rsid w:val="00A2697E"/>
    <w:rsid w:val="00A50D0B"/>
    <w:rsid w:val="00A91831"/>
    <w:rsid w:val="00AA3601"/>
    <w:rsid w:val="00AC0B4E"/>
    <w:rsid w:val="00AC52A7"/>
    <w:rsid w:val="00AF2275"/>
    <w:rsid w:val="00B001B2"/>
    <w:rsid w:val="00B157D1"/>
    <w:rsid w:val="00B457BC"/>
    <w:rsid w:val="00BA7C8E"/>
    <w:rsid w:val="00BB2E16"/>
    <w:rsid w:val="00BB2F87"/>
    <w:rsid w:val="00BE21F2"/>
    <w:rsid w:val="00BF1D32"/>
    <w:rsid w:val="00BF7046"/>
    <w:rsid w:val="00C063ED"/>
    <w:rsid w:val="00C10255"/>
    <w:rsid w:val="00C114A6"/>
    <w:rsid w:val="00C36A82"/>
    <w:rsid w:val="00C77A96"/>
    <w:rsid w:val="00C77F04"/>
    <w:rsid w:val="00C8085C"/>
    <w:rsid w:val="00C8235F"/>
    <w:rsid w:val="00C94CC9"/>
    <w:rsid w:val="00CD2CEC"/>
    <w:rsid w:val="00CD5723"/>
    <w:rsid w:val="00D051E2"/>
    <w:rsid w:val="00D07D2D"/>
    <w:rsid w:val="00D13510"/>
    <w:rsid w:val="00D24784"/>
    <w:rsid w:val="00D31D13"/>
    <w:rsid w:val="00D50628"/>
    <w:rsid w:val="00D509E3"/>
    <w:rsid w:val="00D579F9"/>
    <w:rsid w:val="00D65EC8"/>
    <w:rsid w:val="00D77094"/>
    <w:rsid w:val="00D82A4D"/>
    <w:rsid w:val="00D84F3A"/>
    <w:rsid w:val="00DB1754"/>
    <w:rsid w:val="00DD5DF0"/>
    <w:rsid w:val="00E06B77"/>
    <w:rsid w:val="00E07149"/>
    <w:rsid w:val="00E11116"/>
    <w:rsid w:val="00E23604"/>
    <w:rsid w:val="00E41FC7"/>
    <w:rsid w:val="00E429E4"/>
    <w:rsid w:val="00E44E69"/>
    <w:rsid w:val="00E508BA"/>
    <w:rsid w:val="00E50C54"/>
    <w:rsid w:val="00E539EB"/>
    <w:rsid w:val="00E6055A"/>
    <w:rsid w:val="00E86AF0"/>
    <w:rsid w:val="00E916A8"/>
    <w:rsid w:val="00E94FA0"/>
    <w:rsid w:val="00E963D8"/>
    <w:rsid w:val="00EB5739"/>
    <w:rsid w:val="00EC34DA"/>
    <w:rsid w:val="00EE081C"/>
    <w:rsid w:val="00F02207"/>
    <w:rsid w:val="00F122FC"/>
    <w:rsid w:val="00F3601F"/>
    <w:rsid w:val="00F43869"/>
    <w:rsid w:val="00FA668C"/>
    <w:rsid w:val="00FB5612"/>
    <w:rsid w:val="00FB7563"/>
    <w:rsid w:val="00FC23C5"/>
    <w:rsid w:val="00FC6B05"/>
    <w:rsid w:val="00FD1561"/>
    <w:rsid w:val="00FE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6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2F2DCE"/>
    <w:rPr>
      <w:color w:val="0000FF"/>
      <w:u w:val="single"/>
    </w:rPr>
  </w:style>
  <w:style w:type="paragraph" w:customStyle="1" w:styleId="Tabledate">
    <w:name w:val="Table date"/>
    <w:basedOn w:val="a"/>
    <w:rsid w:val="002F2DCE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OfficinaSansMediumC" w:eastAsia="Times New Roman" w:hAnsi="OfficinaSansMediumC" w:cs="OfficinaSansMediumC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hyperlink" Target="mailto:analitika@bn.ru" TargetMode="External"/><Relationship Id="rId3" Type="http://schemas.openxmlformats.org/officeDocument/2006/relationships/webSettings" Target="web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ettings" Target="setting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2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chart" Target="charts/chart1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plotArea>
      <c:layout>
        <c:manualLayout>
          <c:layoutTarget val="inner"/>
          <c:xMode val="edge"/>
          <c:yMode val="edge"/>
          <c:x val="0.15716032445944261"/>
          <c:y val="8.0808057436770719E-2"/>
          <c:w val="0.7966253767377276"/>
          <c:h val="0.807142528939520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1ккв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21487.558829547776</c:v>
                </c:pt>
                <c:pt idx="1">
                  <c:v>21229.926555148981</c:v>
                </c:pt>
                <c:pt idx="2">
                  <c:v>21026.829745596857</c:v>
                </c:pt>
                <c:pt idx="3">
                  <c:v>20840.362276038559</c:v>
                </c:pt>
                <c:pt idx="4">
                  <c:v>20533.433508640112</c:v>
                </c:pt>
                <c:pt idx="5">
                  <c:v>20269.624973364582</c:v>
                </c:pt>
                <c:pt idx="6">
                  <c:v>20581.615191986646</c:v>
                </c:pt>
                <c:pt idx="7">
                  <c:v>20851.751674394643</c:v>
                </c:pt>
                <c:pt idx="8">
                  <c:v>21698.107957707271</c:v>
                </c:pt>
                <c:pt idx="9">
                  <c:v>22527.10106382977</c:v>
                </c:pt>
                <c:pt idx="10">
                  <c:v>22688.929784824479</c:v>
                </c:pt>
                <c:pt idx="11">
                  <c:v>22358.855735012319</c:v>
                </c:pt>
                <c:pt idx="12">
                  <c:v>21783.499493927124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2ккв</c:v>
                </c:pt>
              </c:strCache>
            </c:strRef>
          </c:tx>
          <c:spPr>
            <a:ln>
              <a:solidFill>
                <a:srgbClr val="B9553B">
                  <a:alpha val="7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28537.31222086884</c:v>
                </c:pt>
                <c:pt idx="1">
                  <c:v>27749.818558838728</c:v>
                </c:pt>
                <c:pt idx="2">
                  <c:v>27861.885895404143</c:v>
                </c:pt>
                <c:pt idx="3">
                  <c:v>27364.888718342288</c:v>
                </c:pt>
                <c:pt idx="4">
                  <c:v>26947.058823529434</c:v>
                </c:pt>
                <c:pt idx="5">
                  <c:v>27147.186932849356</c:v>
                </c:pt>
                <c:pt idx="6">
                  <c:v>27022.817133443157</c:v>
                </c:pt>
                <c:pt idx="7">
                  <c:v>28382.224479431166</c:v>
                </c:pt>
                <c:pt idx="8">
                  <c:v>30126.587112171859</c:v>
                </c:pt>
                <c:pt idx="9">
                  <c:v>30632.159624413129</c:v>
                </c:pt>
                <c:pt idx="10">
                  <c:v>30166.483241620834</c:v>
                </c:pt>
                <c:pt idx="11">
                  <c:v>30148.43205574913</c:v>
                </c:pt>
                <c:pt idx="12">
                  <c:v>29619.13002806361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3ккв</c:v>
                </c:pt>
              </c:strCache>
            </c:strRef>
          </c:tx>
          <c:spPr>
            <a:ln>
              <a:solidFill>
                <a:srgbClr val="FCD6A4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Лист1!$D$2:$D$14</c:f>
              <c:numCache>
                <c:formatCode>0</c:formatCode>
                <c:ptCount val="13"/>
                <c:pt idx="0">
                  <c:v>36434.178743961296</c:v>
                </c:pt>
                <c:pt idx="1">
                  <c:v>36753.17604355717</c:v>
                </c:pt>
                <c:pt idx="2">
                  <c:v>35966.622162883774</c:v>
                </c:pt>
                <c:pt idx="3">
                  <c:v>35985.074626865637</c:v>
                </c:pt>
                <c:pt idx="4">
                  <c:v>35052.393272962487</c:v>
                </c:pt>
                <c:pt idx="5">
                  <c:v>35383.801652892602</c:v>
                </c:pt>
                <c:pt idx="6">
                  <c:v>36294.580645161252</c:v>
                </c:pt>
                <c:pt idx="7">
                  <c:v>37876.991150442482</c:v>
                </c:pt>
                <c:pt idx="8">
                  <c:v>37803.216374269003</c:v>
                </c:pt>
                <c:pt idx="9">
                  <c:v>39246.235138705371</c:v>
                </c:pt>
                <c:pt idx="10">
                  <c:v>39346.487294469363</c:v>
                </c:pt>
                <c:pt idx="11">
                  <c:v>38732.064421669063</c:v>
                </c:pt>
                <c:pt idx="12">
                  <c:v>37216.510903426824</c:v>
                </c:pt>
              </c:numCache>
            </c:numRef>
          </c:val>
        </c:ser>
        <c:marker val="1"/>
        <c:axId val="123780096"/>
        <c:axId val="124005760"/>
      </c:lineChart>
      <c:dateAx>
        <c:axId val="123780096"/>
        <c:scaling>
          <c:orientation val="minMax"/>
        </c:scaling>
        <c:axPos val="b"/>
        <c:numFmt formatCode="mmm\ yy" sourceLinked="0"/>
        <c:maj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4005760"/>
        <c:crossesAt val="15000"/>
        <c:auto val="1"/>
        <c:lblOffset val="100"/>
        <c:majorUnit val="3"/>
        <c:majorTimeUnit val="months"/>
      </c:dateAx>
      <c:valAx>
        <c:axId val="124005760"/>
        <c:scaling>
          <c:orientation val="minMax"/>
          <c:max val="45000"/>
          <c:min val="15000"/>
        </c:scaling>
        <c:axPos val="l"/>
        <c:numFmt formatCode="#,##0" sourceLinked="0"/>
        <c:maj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3780096"/>
        <c:crosses val="autoZero"/>
        <c:crossBetween val="between"/>
      </c:valAx>
      <c:spPr>
        <a:noFill/>
        <a:ln w="25420">
          <a:noFill/>
        </a:ln>
      </c:spPr>
    </c:plotArea>
    <c:legend>
      <c:legendPos val="b"/>
      <c:layout>
        <c:manualLayout>
          <c:xMode val="edge"/>
          <c:yMode val="edge"/>
          <c:x val="0.18333703782522875"/>
          <c:y val="4.1830075809051813E-2"/>
          <c:w val="0.5772087047677561"/>
          <c:h val="0.11024048389890351"/>
        </c:manualLayout>
      </c:layout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</c:chart>
  <c:txPr>
    <a:bodyPr/>
    <a:lstStyle/>
    <a:p>
      <a:pPr>
        <a:defRPr sz="801">
          <a:latin typeface="PT Sans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hart>
    <c:autoTitleDeleted val="1"/>
    <c:plotArea>
      <c:layout>
        <c:manualLayout>
          <c:layoutTarget val="inner"/>
          <c:xMode val="edge"/>
          <c:yMode val="edge"/>
          <c:x val="0.12265754542534443"/>
          <c:y val="0.16788929585351126"/>
          <c:w val="0.81167499476802363"/>
          <c:h val="0.75579636450652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4.3021680216802334E-3"/>
                  <c:y val="1.4692374079412861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-0.15057588075880771"/>
                  <c:y val="-0.21303942415148674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5.5928184281842819E-2"/>
                  <c:y val="0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sz="800" baseline="0">
                    <a:latin typeface="PT Sans"/>
                  </a:defRPr>
                </a:pPr>
                <a:endParaRPr lang="ru-RU"/>
              </a:p>
            </c:txPr>
            <c:dLblPos val="outEnd"/>
            <c:showVal val="1"/>
            <c:showCatName val="1"/>
          </c:dLbls>
          <c:cat>
            <c:strRef>
              <c:f>Лист1!$A$2:$A$6</c:f>
              <c:strCache>
                <c:ptCount val="5"/>
                <c:pt idx="0">
                  <c:v>комнаты</c:v>
                </c:pt>
                <c:pt idx="1">
                  <c:v>1ккв</c:v>
                </c:pt>
                <c:pt idx="2">
                  <c:v>2ккв</c:v>
                </c:pt>
                <c:pt idx="3">
                  <c:v>3ккв</c:v>
                </c:pt>
                <c:pt idx="4">
                  <c:v>&gt;3ккв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0.16054687500000001</c:v>
                </c:pt>
                <c:pt idx="1">
                  <c:v>0.47929687500000034</c:v>
                </c:pt>
                <c:pt idx="2">
                  <c:v>0.259765625</c:v>
                </c:pt>
                <c:pt idx="3">
                  <c:v>8.6718750000000011E-2</c:v>
                </c:pt>
                <c:pt idx="4">
                  <c:v>1.3671875000000017E-2</c:v>
                </c:pt>
              </c:numCache>
            </c:numRef>
          </c:val>
        </c:ser>
        <c:firstSliceAng val="0"/>
      </c:pieChart>
    </c:plotArea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hart>
    <c:autoTitleDeleted val="1"/>
    <c:plotArea>
      <c:layout>
        <c:manualLayout>
          <c:layoutTarget val="inner"/>
          <c:xMode val="edge"/>
          <c:yMode val="edge"/>
          <c:x val="9.5554903458368132E-2"/>
          <c:y val="0.16732589536715892"/>
          <c:w val="0.81167499476802363"/>
          <c:h val="0.75579636450652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1.2910168943622891E-2"/>
                  <c:y val="2.9384748158825778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-0.15061863767560041"/>
                  <c:y val="-0.2203856111911929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-2.1516948239371475E-2"/>
                  <c:y val="0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6.0247455070240125E-2"/>
                  <c:y val="0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sz="800" baseline="0">
                    <a:latin typeface="PT Sans"/>
                  </a:defRPr>
                </a:pPr>
                <a:endParaRPr lang="ru-RU"/>
              </a:p>
            </c:txPr>
            <c:dLblPos val="outEnd"/>
            <c:showVal val="1"/>
            <c:showCatName val="1"/>
          </c:dLbls>
          <c:cat>
            <c:strRef>
              <c:f>Лист1!$A$2:$A$6</c:f>
              <c:strCache>
                <c:ptCount val="5"/>
                <c:pt idx="0">
                  <c:v>комнаты</c:v>
                </c:pt>
                <c:pt idx="1">
                  <c:v>1ккв</c:v>
                </c:pt>
                <c:pt idx="2">
                  <c:v>2ккв</c:v>
                </c:pt>
                <c:pt idx="3">
                  <c:v>3ккв</c:v>
                </c:pt>
                <c:pt idx="4">
                  <c:v>&gt;3ккв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0.15405405405405406</c:v>
                </c:pt>
                <c:pt idx="1">
                  <c:v>0.53822393822393821</c:v>
                </c:pt>
                <c:pt idx="2">
                  <c:v>0.2216216216216215</c:v>
                </c:pt>
                <c:pt idx="3">
                  <c:v>7.6833976833976914E-2</c:v>
                </c:pt>
                <c:pt idx="4">
                  <c:v>9.2664092664092937E-3</c:v>
                </c:pt>
              </c:numCache>
            </c:numRef>
          </c:val>
        </c:ser>
        <c:firstSliceAng val="0"/>
      </c:pieChart>
    </c:plotArea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>
        <c:manualLayout>
          <c:layoutTarget val="inner"/>
          <c:xMode val="edge"/>
          <c:yMode val="edge"/>
          <c:x val="7.938904671717173E-2"/>
          <c:y val="2.7738992744097482E-2"/>
          <c:w val="0.90320069622395205"/>
          <c:h val="0.5518733131677551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Декабрь 2013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Sheet1!$B$2:$N$2</c:f>
              <c:numCache>
                <c:formatCode>0.00%</c:formatCode>
                <c:ptCount val="13"/>
                <c:pt idx="0">
                  <c:v>0.10664062500000007</c:v>
                </c:pt>
                <c:pt idx="1">
                  <c:v>6.5625000000000003E-2</c:v>
                </c:pt>
                <c:pt idx="2">
                  <c:v>9.3359375000000133E-2</c:v>
                </c:pt>
                <c:pt idx="3">
                  <c:v>3.515625E-2</c:v>
                </c:pt>
                <c:pt idx="4">
                  <c:v>4.5312500000000061E-2</c:v>
                </c:pt>
                <c:pt idx="5">
                  <c:v>1.8359375000000001E-2</c:v>
                </c:pt>
                <c:pt idx="6">
                  <c:v>5.0781250000000045E-3</c:v>
                </c:pt>
                <c:pt idx="7">
                  <c:v>0.10273437500000007</c:v>
                </c:pt>
                <c:pt idx="8">
                  <c:v>4.2187500000000003E-2</c:v>
                </c:pt>
                <c:pt idx="9">
                  <c:v>5.7812500000000079E-2</c:v>
                </c:pt>
                <c:pt idx="10">
                  <c:v>6.3671874999999975E-2</c:v>
                </c:pt>
                <c:pt idx="11">
                  <c:v>2.343750000000001E-2</c:v>
                </c:pt>
                <c:pt idx="12">
                  <c:v>0.34062500000000001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Декабрь 2014</c:v>
                </c:pt>
              </c:strCache>
            </c:strRef>
          </c:tx>
          <c:spPr>
            <a:solidFill>
              <a:srgbClr val="B9553B">
                <a:alpha val="69804"/>
              </a:srgbClr>
            </a:solidFill>
          </c:spPr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Sheet1!$B$3:$N$3</c:f>
              <c:numCache>
                <c:formatCode>0.00%</c:formatCode>
                <c:ptCount val="13"/>
                <c:pt idx="0">
                  <c:v>6.8339768339768334E-2</c:v>
                </c:pt>
                <c:pt idx="1">
                  <c:v>9.0733590733590747E-2</c:v>
                </c:pt>
                <c:pt idx="2">
                  <c:v>7.9536679536679533E-2</c:v>
                </c:pt>
                <c:pt idx="3">
                  <c:v>3.3976833976834001E-2</c:v>
                </c:pt>
                <c:pt idx="4">
                  <c:v>5.7915057915057924E-2</c:v>
                </c:pt>
                <c:pt idx="5">
                  <c:v>2.6640926640926661E-2</c:v>
                </c:pt>
                <c:pt idx="6">
                  <c:v>7.7220077220077283E-3</c:v>
                </c:pt>
                <c:pt idx="7">
                  <c:v>0.11776061776061789</c:v>
                </c:pt>
                <c:pt idx="8">
                  <c:v>4.2084942084942088E-2</c:v>
                </c:pt>
                <c:pt idx="9">
                  <c:v>3.1660231660231658E-2</c:v>
                </c:pt>
                <c:pt idx="10">
                  <c:v>7.4131274131274127E-2</c:v>
                </c:pt>
                <c:pt idx="11">
                  <c:v>2.3938223938223941E-2</c:v>
                </c:pt>
                <c:pt idx="12">
                  <c:v>0.34555984555984598</c:v>
                </c:pt>
              </c:numCache>
            </c:numRef>
          </c:val>
        </c:ser>
        <c:dLbls>
          <c:showVal val="1"/>
        </c:dLbls>
        <c:axId val="124093184"/>
        <c:axId val="124114048"/>
      </c:barChart>
      <c:catAx>
        <c:axId val="124093184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124114048"/>
        <c:crosses val="autoZero"/>
        <c:auto val="1"/>
        <c:lblAlgn val="ctr"/>
        <c:lblOffset val="100"/>
        <c:tickLblSkip val="1"/>
        <c:tickMarkSkip val="1"/>
      </c:catAx>
      <c:valAx>
        <c:axId val="124114048"/>
        <c:scaling>
          <c:orientation val="minMax"/>
        </c:scaling>
        <c:axPos val="l"/>
        <c:numFmt formatCode="0%" sourceLinked="0"/>
        <c:tickLblPos val="nextTo"/>
        <c:txPr>
          <a:bodyPr rot="0" vert="horz"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1240931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9417455808080839"/>
          <c:y val="0"/>
          <c:w val="0.48781881313131414"/>
          <c:h val="8.9571178204072982E-2"/>
        </c:manualLayout>
      </c:layout>
      <c:txPr>
        <a:bodyPr/>
        <a:lstStyle/>
        <a:p>
          <a:pPr>
            <a:defRPr sz="800" baseline="0">
              <a:latin typeface="PT San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8.8984109952187848E-2"/>
          <c:y val="3.0907809675541652E-2"/>
          <c:w val="0.890720315878057"/>
          <c:h val="0.871423191540809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12093</c:v>
                </c:pt>
                <c:pt idx="1">
                  <c:v>9406</c:v>
                </c:pt>
                <c:pt idx="2">
                  <c:v>12480</c:v>
                </c:pt>
                <c:pt idx="3">
                  <c:v>12301</c:v>
                </c:pt>
                <c:pt idx="4">
                  <c:v>12579</c:v>
                </c:pt>
                <c:pt idx="5">
                  <c:v>10810</c:v>
                </c:pt>
                <c:pt idx="6">
                  <c:v>11664</c:v>
                </c:pt>
                <c:pt idx="7">
                  <c:v>9780</c:v>
                </c:pt>
                <c:pt idx="8">
                  <c:v>9363</c:v>
                </c:pt>
                <c:pt idx="9">
                  <c:v>9790</c:v>
                </c:pt>
                <c:pt idx="10">
                  <c:v>8916</c:v>
                </c:pt>
                <c:pt idx="11">
                  <c:v>9350</c:v>
                </c:pt>
                <c:pt idx="12">
                  <c:v>9853</c:v>
                </c:pt>
              </c:numCache>
            </c:numRef>
          </c:val>
        </c:ser>
        <c:axId val="125895424"/>
        <c:axId val="125920384"/>
      </c:barChart>
      <c:dateAx>
        <c:axId val="125895424"/>
        <c:scaling>
          <c:orientation val="minMax"/>
        </c:scaling>
        <c:axPos val="b"/>
        <c:numFmt formatCode="mmm\ yy" sourceLinked="0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125920384"/>
        <c:crosses val="autoZero"/>
        <c:auto val="1"/>
        <c:lblOffset val="100"/>
      </c:dateAx>
      <c:valAx>
        <c:axId val="125920384"/>
        <c:scaling>
          <c:orientation val="minMax"/>
          <c:max val="14000"/>
          <c:min val="0"/>
        </c:scaling>
        <c:axPos val="l"/>
        <c:numFmt formatCode="#,##0" sourceLinked="0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125895424"/>
        <c:crosses val="autoZero"/>
        <c:crossBetween val="between"/>
        <c:majorUnit val="2000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8.6980118428730949E-2"/>
          <c:y val="2.9827159727350592E-2"/>
          <c:w val="0.890720315878057"/>
          <c:h val="0.871423191540809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1784</c:v>
                </c:pt>
                <c:pt idx="1">
                  <c:v>1383</c:v>
                </c:pt>
                <c:pt idx="2">
                  <c:v>1868</c:v>
                </c:pt>
                <c:pt idx="3">
                  <c:v>1425</c:v>
                </c:pt>
                <c:pt idx="4">
                  <c:v>1357</c:v>
                </c:pt>
                <c:pt idx="5">
                  <c:v>1178</c:v>
                </c:pt>
                <c:pt idx="6">
                  <c:v>1101</c:v>
                </c:pt>
                <c:pt idx="7">
                  <c:v>1316</c:v>
                </c:pt>
                <c:pt idx="8">
                  <c:v>1701</c:v>
                </c:pt>
                <c:pt idx="9">
                  <c:v>2032</c:v>
                </c:pt>
                <c:pt idx="10">
                  <c:v>1528</c:v>
                </c:pt>
                <c:pt idx="11">
                  <c:v>1343</c:v>
                </c:pt>
                <c:pt idx="12">
                  <c:v>982</c:v>
                </c:pt>
              </c:numCache>
            </c:numRef>
          </c:val>
        </c:ser>
        <c:axId val="126426112"/>
        <c:axId val="126428288"/>
      </c:barChart>
      <c:dateAx>
        <c:axId val="126426112"/>
        <c:scaling>
          <c:orientation val="minMax"/>
        </c:scaling>
        <c:axPos val="b"/>
        <c:numFmt formatCode="mmm\ yy" sourceLinked="0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126428288"/>
        <c:crosses val="autoZero"/>
        <c:auto val="1"/>
        <c:lblOffset val="100"/>
      </c:dateAx>
      <c:valAx>
        <c:axId val="126428288"/>
        <c:scaling>
          <c:orientation val="minMax"/>
        </c:scaling>
        <c:axPos val="l"/>
        <c:numFmt formatCode="#,##0" sourceLinked="0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12642611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hart>
    <c:autoTitleDeleted val="1"/>
    <c:plotArea>
      <c:layout>
        <c:manualLayout>
          <c:layoutTarget val="inner"/>
          <c:xMode val="edge"/>
          <c:yMode val="edge"/>
          <c:x val="7.2515409555705984E-2"/>
          <c:y val="0.16597125560269341"/>
          <c:w val="0.81167499476802363"/>
          <c:h val="0.75579636450652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0.11585399728997288"/>
                  <c:y val="-0.21102893518518534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5.4298642533936924E-2"/>
                  <c:y val="0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sz="800" baseline="0">
                    <a:latin typeface="PT Sans"/>
                  </a:defRPr>
                </a:pPr>
                <a:endParaRPr lang="ru-RU"/>
              </a:p>
            </c:txPr>
            <c:dLblPos val="outEnd"/>
            <c:showVal val="1"/>
            <c:showCatName val="1"/>
          </c:dLbls>
          <c:cat>
            <c:strRef>
              <c:f>Лист1!$A$2:$A$6</c:f>
              <c:strCache>
                <c:ptCount val="5"/>
                <c:pt idx="0">
                  <c:v>комнаты</c:v>
                </c:pt>
                <c:pt idx="1">
                  <c:v>1ккв</c:v>
                </c:pt>
                <c:pt idx="2">
                  <c:v>2ккв</c:v>
                </c:pt>
                <c:pt idx="3">
                  <c:v>3ккв</c:v>
                </c:pt>
                <c:pt idx="4">
                  <c:v>&gt;3ккв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0.41389728096676737</c:v>
                </c:pt>
                <c:pt idx="1">
                  <c:v>0.33111782477341417</c:v>
                </c:pt>
                <c:pt idx="2">
                  <c:v>0.17462235649546845</c:v>
                </c:pt>
                <c:pt idx="3">
                  <c:v>4.2296072507552872E-2</c:v>
                </c:pt>
                <c:pt idx="4">
                  <c:v>3.8066465256797584E-2</c:v>
                </c:pt>
              </c:numCache>
            </c:numRef>
          </c:val>
        </c:ser>
        <c:firstSliceAng val="0"/>
      </c:pieChart>
    </c:plotArea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hart>
    <c:autoTitleDeleted val="1"/>
    <c:plotArea>
      <c:layout>
        <c:manualLayout>
          <c:layoutTarget val="inner"/>
          <c:xMode val="edge"/>
          <c:yMode val="edge"/>
          <c:x val="7.2515409555705984E-2"/>
          <c:y val="0.16597125560269341"/>
          <c:w val="0.81167499476802363"/>
          <c:h val="0.75579636450652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6.6455284552845523E-2"/>
                  <c:y val="-0.17428125000000042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5.4298642533936924E-2"/>
                  <c:y val="0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sz="800" baseline="0">
                    <a:latin typeface="PT Sans"/>
                  </a:defRPr>
                </a:pPr>
                <a:endParaRPr lang="ru-RU"/>
              </a:p>
            </c:txPr>
            <c:dLblPos val="outEnd"/>
            <c:showVal val="1"/>
            <c:showCatName val="1"/>
          </c:dLbls>
          <c:cat>
            <c:strRef>
              <c:f>Лист1!$A$2:$A$6</c:f>
              <c:strCache>
                <c:ptCount val="5"/>
                <c:pt idx="0">
                  <c:v>комнаты</c:v>
                </c:pt>
                <c:pt idx="1">
                  <c:v>1ккв</c:v>
                </c:pt>
                <c:pt idx="2">
                  <c:v>2ккв</c:v>
                </c:pt>
                <c:pt idx="3">
                  <c:v>3ккв</c:v>
                </c:pt>
                <c:pt idx="4">
                  <c:v>&gt;3ккв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0.35000000000000026</c:v>
                </c:pt>
                <c:pt idx="1">
                  <c:v>0.36086956521739189</c:v>
                </c:pt>
                <c:pt idx="2">
                  <c:v>0.18043478260869583</c:v>
                </c:pt>
                <c:pt idx="3">
                  <c:v>5.8695652173913052E-2</c:v>
                </c:pt>
                <c:pt idx="4">
                  <c:v>0.05</c:v>
                </c:pt>
              </c:numCache>
            </c:numRef>
          </c:val>
        </c:ser>
        <c:firstSliceAng val="0"/>
      </c:pieChart>
    </c:plotArea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layout/>
    </c:title>
    <c:plotArea>
      <c:layout>
        <c:manualLayout>
          <c:layoutTarget val="inner"/>
          <c:xMode val="edge"/>
          <c:yMode val="edge"/>
          <c:x val="7.9921916549823904E-2"/>
          <c:y val="2.7377924600902836E-2"/>
          <c:w val="0.90320069622395205"/>
          <c:h val="0.5927604103122385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Sheet1!$B$2:$N$2</c:f>
              <c:numCache>
                <c:formatCode>0.00%</c:formatCode>
                <c:ptCount val="13"/>
                <c:pt idx="0">
                  <c:v>6.4154786150712906E-2</c:v>
                </c:pt>
                <c:pt idx="1">
                  <c:v>3.5641547861507188E-2</c:v>
                </c:pt>
                <c:pt idx="2">
                  <c:v>0.10386965376782077</c:v>
                </c:pt>
                <c:pt idx="3">
                  <c:v>7.5356415478615102E-2</c:v>
                </c:pt>
                <c:pt idx="4">
                  <c:v>9.8778004073319756E-2</c:v>
                </c:pt>
                <c:pt idx="5">
                  <c:v>4.1751527494908382E-2</c:v>
                </c:pt>
                <c:pt idx="6">
                  <c:v>4.3788187372708773E-2</c:v>
                </c:pt>
                <c:pt idx="7">
                  <c:v>0.10692464358452153</c:v>
                </c:pt>
                <c:pt idx="8">
                  <c:v>8.6558044806517326E-2</c:v>
                </c:pt>
                <c:pt idx="9">
                  <c:v>3.3604887983706755E-2</c:v>
                </c:pt>
                <c:pt idx="10">
                  <c:v>9.7759674134419564E-2</c:v>
                </c:pt>
                <c:pt idx="11">
                  <c:v>0.13034623217922636</c:v>
                </c:pt>
                <c:pt idx="12">
                  <c:v>8.1466395112016463E-2</c:v>
                </c:pt>
              </c:numCache>
            </c:numRef>
          </c:val>
        </c:ser>
        <c:dLbls>
          <c:showVal val="1"/>
        </c:dLbls>
        <c:axId val="151855872"/>
        <c:axId val="151857408"/>
      </c:barChart>
      <c:catAx>
        <c:axId val="151855872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151857408"/>
        <c:crosses val="autoZero"/>
        <c:auto val="1"/>
        <c:lblAlgn val="ctr"/>
        <c:lblOffset val="100"/>
        <c:tickLblSkip val="1"/>
        <c:tickMarkSkip val="1"/>
      </c:catAx>
      <c:valAx>
        <c:axId val="151857408"/>
        <c:scaling>
          <c:orientation val="minMax"/>
          <c:max val="0.14000000000000001"/>
        </c:scaling>
        <c:axPos val="l"/>
        <c:numFmt formatCode="0%" sourceLinked="0"/>
        <c:tickLblPos val="nextTo"/>
        <c:txPr>
          <a:bodyPr rot="0" vert="horz"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15185587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7872"/>
          <c:h val="0.8622098874622586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&lt;9</c:v>
                </c:pt>
                <c:pt idx="1">
                  <c:v>9-10</c:v>
                </c:pt>
                <c:pt idx="2">
                  <c:v>10-11</c:v>
                </c:pt>
                <c:pt idx="3">
                  <c:v>11-12</c:v>
                </c:pt>
                <c:pt idx="4">
                  <c:v>12-13</c:v>
                </c:pt>
                <c:pt idx="5">
                  <c:v>13-14</c:v>
                </c:pt>
                <c:pt idx="6">
                  <c:v>&gt;14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4.3749999999999997E-2</c:v>
                </c:pt>
                <c:pt idx="1">
                  <c:v>4.6874999999999986E-2</c:v>
                </c:pt>
                <c:pt idx="2">
                  <c:v>0.25</c:v>
                </c:pt>
                <c:pt idx="3">
                  <c:v>7.5000000000000011E-2</c:v>
                </c:pt>
                <c:pt idx="4">
                  <c:v>0.26875000000000004</c:v>
                </c:pt>
                <c:pt idx="5">
                  <c:v>0.2</c:v>
                </c:pt>
                <c:pt idx="6">
                  <c:v>0.1156250000000001</c:v>
                </c:pt>
              </c:numCache>
            </c:numRef>
          </c:val>
        </c:ser>
        <c:dLbls>
          <c:showVal val="1"/>
        </c:dLbls>
        <c:gapWidth val="75"/>
        <c:axId val="151428480"/>
        <c:axId val="151435136"/>
      </c:barChart>
      <c:catAx>
        <c:axId val="15142848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1435136"/>
        <c:crossesAt val="0"/>
        <c:auto val="1"/>
        <c:lblAlgn val="ctr"/>
        <c:lblOffset val="100"/>
      </c:catAx>
      <c:valAx>
        <c:axId val="151435136"/>
        <c:scaling>
          <c:orientation val="minMax"/>
          <c:max val="0.4"/>
          <c:min val="0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1428480"/>
        <c:crosses val="autoZero"/>
        <c:crossBetween val="between"/>
        <c:majorUnit val="0.1"/>
        <c:minorUnit val="1.0000000000000005E-2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7894"/>
          <c:h val="0.8622098874622586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&lt;17</c:v>
                </c:pt>
                <c:pt idx="1">
                  <c:v>17-19</c:v>
                </c:pt>
                <c:pt idx="2">
                  <c:v>19-21</c:v>
                </c:pt>
                <c:pt idx="3">
                  <c:v>21-23</c:v>
                </c:pt>
                <c:pt idx="4">
                  <c:v>23-25</c:v>
                </c:pt>
                <c:pt idx="5">
                  <c:v>25-27</c:v>
                </c:pt>
                <c:pt idx="6">
                  <c:v>&gt;27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9.9397590361445798E-2</c:v>
                </c:pt>
                <c:pt idx="1">
                  <c:v>0.16265060240963838</c:v>
                </c:pt>
                <c:pt idx="2">
                  <c:v>0.32831325301204872</c:v>
                </c:pt>
                <c:pt idx="3">
                  <c:v>0.1054216867469881</c:v>
                </c:pt>
                <c:pt idx="4">
                  <c:v>5.7228915662650537E-2</c:v>
                </c:pt>
                <c:pt idx="5">
                  <c:v>0.15060240963855417</c:v>
                </c:pt>
                <c:pt idx="6">
                  <c:v>9.6385542168674801E-2</c:v>
                </c:pt>
              </c:numCache>
            </c:numRef>
          </c:val>
        </c:ser>
        <c:dLbls>
          <c:showVal val="1"/>
        </c:dLbls>
        <c:gapWidth val="75"/>
        <c:axId val="126416384"/>
        <c:axId val="126446592"/>
      </c:barChart>
      <c:catAx>
        <c:axId val="12641638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6446592"/>
        <c:crossesAt val="0"/>
        <c:auto val="1"/>
        <c:lblAlgn val="ctr"/>
        <c:lblOffset val="100"/>
      </c:catAx>
      <c:valAx>
        <c:axId val="126446592"/>
        <c:scaling>
          <c:orientation val="minMax"/>
          <c:max val="0.4"/>
          <c:min val="0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6416384"/>
        <c:crosses val="autoZero"/>
        <c:crossBetween val="between"/>
        <c:majorUnit val="0.1"/>
        <c:minorUnit val="1.0000000000000005E-2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autoTitleDeleted val="1"/>
    <c:plotArea>
      <c:layout>
        <c:manualLayout>
          <c:layoutTarget val="inner"/>
          <c:xMode val="edge"/>
          <c:yMode val="edge"/>
          <c:x val="0.15716032445944267"/>
          <c:y val="8.0808057436770719E-2"/>
          <c:w val="0.7966253767377276"/>
          <c:h val="0.807142528939520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комнаты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11238.929599581261</c:v>
                </c:pt>
                <c:pt idx="1">
                  <c:v>11231.138907175782</c:v>
                </c:pt>
                <c:pt idx="2">
                  <c:v>11074.935194416747</c:v>
                </c:pt>
                <c:pt idx="3">
                  <c:v>10983.403980356688</c:v>
                </c:pt>
                <c:pt idx="4">
                  <c:v>10935.152383433175</c:v>
                </c:pt>
                <c:pt idx="5">
                  <c:v>11083.312883435583</c:v>
                </c:pt>
                <c:pt idx="6">
                  <c:v>11031.084471703372</c:v>
                </c:pt>
                <c:pt idx="7">
                  <c:v>11154.836683417072</c:v>
                </c:pt>
                <c:pt idx="8">
                  <c:v>11372.408026755853</c:v>
                </c:pt>
                <c:pt idx="9">
                  <c:v>11578.001952489423</c:v>
                </c:pt>
                <c:pt idx="10">
                  <c:v>11505.003762227239</c:v>
                </c:pt>
                <c:pt idx="11">
                  <c:v>11572.129471890979</c:v>
                </c:pt>
                <c:pt idx="12">
                  <c:v>11373.493975903606</c:v>
                </c:pt>
              </c:numCache>
            </c:numRef>
          </c:val>
        </c:ser>
        <c:marker val="1"/>
        <c:axId val="70540288"/>
        <c:axId val="70632192"/>
      </c:lineChart>
      <c:dateAx>
        <c:axId val="70540288"/>
        <c:scaling>
          <c:orientation val="minMax"/>
        </c:scaling>
        <c:axPos val="b"/>
        <c:numFmt formatCode="mmm\ yy" sourceLinked="0"/>
        <c:maj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70632192"/>
        <c:crossesAt val="10600"/>
        <c:auto val="1"/>
        <c:lblOffset val="100"/>
        <c:majorUnit val="3"/>
        <c:majorTimeUnit val="months"/>
      </c:dateAx>
      <c:valAx>
        <c:axId val="70632192"/>
        <c:scaling>
          <c:orientation val="minMax"/>
          <c:max val="11800"/>
          <c:min val="10600"/>
        </c:scaling>
        <c:axPos val="l"/>
        <c:numFmt formatCode="#,##0" sourceLinked="0"/>
        <c:maj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70540288"/>
        <c:crosses val="autoZero"/>
        <c:crossBetween val="between"/>
        <c:majorUnit val="200"/>
        <c:minorUnit val="100"/>
      </c:valAx>
      <c:spPr>
        <a:noFill/>
        <a:ln w="25420">
          <a:noFill/>
        </a:ln>
      </c:spPr>
    </c:plotArea>
    <c:legend>
      <c:legendPos val="t"/>
      <c:layout/>
      <c:overlay val="1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</c:chart>
  <c:txPr>
    <a:bodyPr/>
    <a:lstStyle/>
    <a:p>
      <a:pPr>
        <a:defRPr sz="801">
          <a:latin typeface="PT Sans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7894"/>
          <c:h val="0.8622098874622586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&lt;21</c:v>
                </c:pt>
                <c:pt idx="1">
                  <c:v>21-24</c:v>
                </c:pt>
                <c:pt idx="2">
                  <c:v>24-27</c:v>
                </c:pt>
                <c:pt idx="3">
                  <c:v>27-30</c:v>
                </c:pt>
                <c:pt idx="4">
                  <c:v>30-33</c:v>
                </c:pt>
                <c:pt idx="5">
                  <c:v>33-36</c:v>
                </c:pt>
                <c:pt idx="6">
                  <c:v>&gt;36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9.0361445783132682E-2</c:v>
                </c:pt>
                <c:pt idx="1">
                  <c:v>6.024096385542177E-2</c:v>
                </c:pt>
                <c:pt idx="2">
                  <c:v>0.5060240963855428</c:v>
                </c:pt>
                <c:pt idx="3">
                  <c:v>7.831325301204832E-2</c:v>
                </c:pt>
                <c:pt idx="4">
                  <c:v>0.19277108433734941</c:v>
                </c:pt>
                <c:pt idx="5">
                  <c:v>1.2048192771084338E-2</c:v>
                </c:pt>
                <c:pt idx="6">
                  <c:v>6.024096385542177E-2</c:v>
                </c:pt>
              </c:numCache>
            </c:numRef>
          </c:val>
        </c:ser>
        <c:dLbls>
          <c:showVal val="1"/>
        </c:dLbls>
        <c:gapWidth val="75"/>
        <c:axId val="126191488"/>
        <c:axId val="126197760"/>
      </c:barChart>
      <c:catAx>
        <c:axId val="12619148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6197760"/>
        <c:crossesAt val="0"/>
        <c:auto val="1"/>
        <c:lblAlgn val="ctr"/>
        <c:lblOffset val="100"/>
      </c:catAx>
      <c:valAx>
        <c:axId val="126197760"/>
        <c:scaling>
          <c:orientation val="minMax"/>
          <c:max val="0.60000000000000064"/>
          <c:min val="0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6191488"/>
        <c:crosses val="autoZero"/>
        <c:crossBetween val="between"/>
        <c:majorUnit val="0.15000000000000022"/>
        <c:minorUnit val="1.0000000000000005E-2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7916"/>
          <c:h val="0.8622098874622586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&lt;25</c:v>
                </c:pt>
                <c:pt idx="1">
                  <c:v>25-30</c:v>
                </c:pt>
                <c:pt idx="2">
                  <c:v>30-35</c:v>
                </c:pt>
                <c:pt idx="3">
                  <c:v>35-40</c:v>
                </c:pt>
                <c:pt idx="4">
                  <c:v>40-45</c:v>
                </c:pt>
                <c:pt idx="5">
                  <c:v>45-50</c:v>
                </c:pt>
                <c:pt idx="6">
                  <c:v>&gt;50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2.1276595744680847E-2</c:v>
                </c:pt>
                <c:pt idx="1">
                  <c:v>0.17021276595744694</c:v>
                </c:pt>
                <c:pt idx="2">
                  <c:v>0.38297872340425609</c:v>
                </c:pt>
                <c:pt idx="3">
                  <c:v>0.14893617021276609</c:v>
                </c:pt>
                <c:pt idx="4">
                  <c:v>0.10638297872340426</c:v>
                </c:pt>
                <c:pt idx="5">
                  <c:v>0.10638297872340426</c:v>
                </c:pt>
                <c:pt idx="6">
                  <c:v>6.3829787234042562E-2</c:v>
                </c:pt>
              </c:numCache>
            </c:numRef>
          </c:val>
        </c:ser>
        <c:dLbls>
          <c:showVal val="1"/>
        </c:dLbls>
        <c:gapWidth val="75"/>
        <c:axId val="100326016"/>
        <c:axId val="126090624"/>
      </c:barChart>
      <c:catAx>
        <c:axId val="10032601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6090624"/>
        <c:crossesAt val="0"/>
        <c:auto val="1"/>
        <c:lblAlgn val="ctr"/>
        <c:lblOffset val="100"/>
      </c:catAx>
      <c:valAx>
        <c:axId val="126090624"/>
        <c:scaling>
          <c:orientation val="minMax"/>
          <c:max val="0.60000000000000064"/>
          <c:min val="0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0326016"/>
        <c:crosses val="autoZero"/>
        <c:crossBetween val="between"/>
        <c:majorUnit val="0.15000000000000022"/>
        <c:minorUnit val="1.0000000000000005E-2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hart>
    <c:autoTitleDeleted val="1"/>
    <c:plotArea>
      <c:layout>
        <c:manualLayout>
          <c:layoutTarget val="inner"/>
          <c:xMode val="edge"/>
          <c:yMode val="edge"/>
          <c:x val="7.2515409555705984E-2"/>
          <c:y val="0.16597125560269341"/>
          <c:w val="0.81167499476802363"/>
          <c:h val="0.75579636450652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2.9810636856368571E-2"/>
                  <c:y val="-0.21102893518518556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5.4298642533936924E-2"/>
                  <c:y val="0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sz="800" baseline="0">
                    <a:latin typeface="PT Sans"/>
                  </a:defRPr>
                </a:pPr>
                <a:endParaRPr lang="ru-RU"/>
              </a:p>
            </c:txPr>
            <c:dLblPos val="outEnd"/>
            <c:showVal val="1"/>
            <c:showCatName val="1"/>
          </c:dLbls>
          <c:cat>
            <c:strRef>
              <c:f>Лист1!$A$2:$A$6</c:f>
              <c:strCache>
                <c:ptCount val="5"/>
                <c:pt idx="0">
                  <c:v>комнаты</c:v>
                </c:pt>
                <c:pt idx="1">
                  <c:v>1ккв</c:v>
                </c:pt>
                <c:pt idx="2">
                  <c:v>2ккв</c:v>
                </c:pt>
                <c:pt idx="3">
                  <c:v>3ккв</c:v>
                </c:pt>
                <c:pt idx="4">
                  <c:v>&gt;3ккв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0.31596791532291468</c:v>
                </c:pt>
                <c:pt idx="1">
                  <c:v>0.40411808484247125</c:v>
                </c:pt>
                <c:pt idx="2">
                  <c:v>0.20367154552220293</c:v>
                </c:pt>
                <c:pt idx="3">
                  <c:v>6.8469362441081622E-2</c:v>
                </c:pt>
                <c:pt idx="4">
                  <c:v>7.7730918713305305E-3</c:v>
                </c:pt>
              </c:numCache>
            </c:numRef>
          </c:val>
        </c:ser>
        <c:firstSliceAng val="0"/>
      </c:pieChart>
    </c:plotArea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hart>
    <c:autoTitleDeleted val="1"/>
    <c:plotArea>
      <c:layout>
        <c:manualLayout>
          <c:layoutTarget val="inner"/>
          <c:xMode val="edge"/>
          <c:yMode val="edge"/>
          <c:x val="7.2515409555705984E-2"/>
          <c:y val="0.16597125560269341"/>
          <c:w val="0.81167499476802363"/>
          <c:h val="0.75579636450652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4.0642276422764217E-2"/>
                  <c:y val="-0.21102893518518534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5.4298642533936924E-2"/>
                  <c:y val="0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sz="800" baseline="0">
                    <a:latin typeface="PT Sans"/>
                  </a:defRPr>
                </a:pPr>
                <a:endParaRPr lang="ru-RU"/>
              </a:p>
            </c:txPr>
            <c:dLblPos val="outEnd"/>
            <c:showVal val="1"/>
            <c:showCatName val="1"/>
          </c:dLbls>
          <c:cat>
            <c:strRef>
              <c:f>Лист1!$A$2:$A$6</c:f>
              <c:strCache>
                <c:ptCount val="5"/>
                <c:pt idx="0">
                  <c:v>комнаты</c:v>
                </c:pt>
                <c:pt idx="1">
                  <c:v>1ккв</c:v>
                </c:pt>
                <c:pt idx="2">
                  <c:v>2ккв</c:v>
                </c:pt>
                <c:pt idx="3">
                  <c:v>3ккв</c:v>
                </c:pt>
                <c:pt idx="4">
                  <c:v>&gt;3ккв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0.31168172130315674</c:v>
                </c:pt>
                <c:pt idx="1">
                  <c:v>0.4010961128590278</c:v>
                </c:pt>
                <c:pt idx="2">
                  <c:v>0.21698974931492959</c:v>
                </c:pt>
                <c:pt idx="3">
                  <c:v>6.5157819953313781E-2</c:v>
                </c:pt>
                <c:pt idx="4">
                  <c:v>5.0745965695727186E-3</c:v>
                </c:pt>
              </c:numCache>
            </c:numRef>
          </c:val>
        </c:ser>
        <c:firstSliceAng val="0"/>
      </c:pieChart>
    </c:plotArea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7839"/>
          <c:h val="0.8622098874622586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&lt;9</c:v>
                </c:pt>
                <c:pt idx="1">
                  <c:v>9-10</c:v>
                </c:pt>
                <c:pt idx="2">
                  <c:v>10-11</c:v>
                </c:pt>
                <c:pt idx="3">
                  <c:v>11-12</c:v>
                </c:pt>
                <c:pt idx="4">
                  <c:v>12-13</c:v>
                </c:pt>
                <c:pt idx="5">
                  <c:v>13-14</c:v>
                </c:pt>
                <c:pt idx="6">
                  <c:v>&gt;14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6.3171605340280046E-2</c:v>
                </c:pt>
                <c:pt idx="1">
                  <c:v>6.7404754151742172E-2</c:v>
                </c:pt>
                <c:pt idx="2">
                  <c:v>0.26799088244871377</c:v>
                </c:pt>
                <c:pt idx="3">
                  <c:v>0.13220449365027695</c:v>
                </c:pt>
                <c:pt idx="4">
                  <c:v>0.23477694562031914</c:v>
                </c:pt>
                <c:pt idx="5">
                  <c:v>0.14881146206447432</c:v>
                </c:pt>
                <c:pt idx="6">
                  <c:v>8.5639856724194177E-2</c:v>
                </c:pt>
              </c:numCache>
            </c:numRef>
          </c:val>
        </c:ser>
        <c:dLbls>
          <c:showVal val="1"/>
        </c:dLbls>
        <c:gapWidth val="75"/>
        <c:axId val="69281664"/>
        <c:axId val="124115584"/>
      </c:barChart>
      <c:catAx>
        <c:axId val="6928166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24115584"/>
        <c:crossesAt val="0"/>
        <c:auto val="1"/>
        <c:lblAlgn val="ctr"/>
        <c:lblOffset val="100"/>
      </c:catAx>
      <c:valAx>
        <c:axId val="124115584"/>
        <c:scaling>
          <c:orientation val="minMax"/>
          <c:max val="0.35000000000000031"/>
          <c:min val="0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69281664"/>
        <c:crosses val="autoZero"/>
        <c:crossBetween val="between"/>
        <c:majorUnit val="0.05"/>
        <c:minorUnit val="1.0000000000000005E-2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7872"/>
          <c:h val="0.8622098874622586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&lt;17</c:v>
                </c:pt>
                <c:pt idx="1">
                  <c:v>17-19</c:v>
                </c:pt>
                <c:pt idx="2">
                  <c:v>19-21</c:v>
                </c:pt>
                <c:pt idx="3">
                  <c:v>21-23</c:v>
                </c:pt>
                <c:pt idx="4">
                  <c:v>23-25</c:v>
                </c:pt>
                <c:pt idx="5">
                  <c:v>25-27</c:v>
                </c:pt>
                <c:pt idx="6">
                  <c:v>&gt;27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5.1366396761133644E-2</c:v>
                </c:pt>
                <c:pt idx="1">
                  <c:v>0.18319838056680199</c:v>
                </c:pt>
                <c:pt idx="2">
                  <c:v>0.29326923076923078</c:v>
                </c:pt>
                <c:pt idx="3">
                  <c:v>0.1500506072874494</c:v>
                </c:pt>
                <c:pt idx="4">
                  <c:v>0.1060222672064778</c:v>
                </c:pt>
                <c:pt idx="5">
                  <c:v>0.13107287449392713</c:v>
                </c:pt>
                <c:pt idx="6">
                  <c:v>8.5020242914979768E-2</c:v>
                </c:pt>
              </c:numCache>
            </c:numRef>
          </c:val>
        </c:ser>
        <c:dLbls>
          <c:showVal val="1"/>
        </c:dLbls>
        <c:gapWidth val="75"/>
        <c:axId val="124165504"/>
        <c:axId val="124168448"/>
      </c:barChart>
      <c:catAx>
        <c:axId val="12416550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24168448"/>
        <c:crossesAt val="0"/>
        <c:auto val="1"/>
        <c:lblAlgn val="ctr"/>
        <c:lblOffset val="100"/>
      </c:catAx>
      <c:valAx>
        <c:axId val="124168448"/>
        <c:scaling>
          <c:orientation val="minMax"/>
          <c:max val="0.35000000000000031"/>
          <c:min val="0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24165504"/>
        <c:crosses val="autoZero"/>
        <c:crossBetween val="between"/>
        <c:majorUnit val="0.05"/>
        <c:minorUnit val="1.0000000000000005E-2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7872"/>
          <c:h val="0.8622098874622586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&lt;21</c:v>
                </c:pt>
                <c:pt idx="1">
                  <c:v>21-24</c:v>
                </c:pt>
                <c:pt idx="2">
                  <c:v>24-27</c:v>
                </c:pt>
                <c:pt idx="3">
                  <c:v>27-30</c:v>
                </c:pt>
                <c:pt idx="4">
                  <c:v>30-33</c:v>
                </c:pt>
                <c:pt idx="5">
                  <c:v>33-36</c:v>
                </c:pt>
                <c:pt idx="6">
                  <c:v>&gt;36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7.904583723105707E-2</c:v>
                </c:pt>
                <c:pt idx="1">
                  <c:v>0.15809167446211428</c:v>
                </c:pt>
                <c:pt idx="2">
                  <c:v>0.22357343311506098</c:v>
                </c:pt>
                <c:pt idx="3">
                  <c:v>9.9625818521983364E-2</c:v>
                </c:pt>
                <c:pt idx="4">
                  <c:v>0.18288119738072983</c:v>
                </c:pt>
                <c:pt idx="5">
                  <c:v>9.6351730589335813E-2</c:v>
                </c:pt>
                <c:pt idx="6">
                  <c:v>0.16043030869971936</c:v>
                </c:pt>
              </c:numCache>
            </c:numRef>
          </c:val>
        </c:ser>
        <c:dLbls>
          <c:showVal val="1"/>
        </c:dLbls>
        <c:gapWidth val="75"/>
        <c:axId val="101696640"/>
        <c:axId val="101698176"/>
      </c:barChart>
      <c:catAx>
        <c:axId val="10169664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01698176"/>
        <c:crossesAt val="0"/>
        <c:auto val="1"/>
        <c:lblAlgn val="ctr"/>
        <c:lblOffset val="100"/>
      </c:catAx>
      <c:valAx>
        <c:axId val="101698176"/>
        <c:scaling>
          <c:orientation val="minMax"/>
          <c:max val="0.35000000000000031"/>
          <c:min val="0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01696640"/>
        <c:crosses val="autoZero"/>
        <c:crossBetween val="between"/>
        <c:majorUnit val="0.05"/>
        <c:minorUnit val="1.0000000000000005E-2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7894"/>
          <c:h val="0.8622098874622586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&lt;25</c:v>
                </c:pt>
                <c:pt idx="1">
                  <c:v>25-30</c:v>
                </c:pt>
                <c:pt idx="2">
                  <c:v>30-35</c:v>
                </c:pt>
                <c:pt idx="3">
                  <c:v>35-40</c:v>
                </c:pt>
                <c:pt idx="4">
                  <c:v>40-45</c:v>
                </c:pt>
                <c:pt idx="5">
                  <c:v>45-50</c:v>
                </c:pt>
                <c:pt idx="6">
                  <c:v>&gt;50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5.6074766355140193E-2</c:v>
                </c:pt>
                <c:pt idx="1">
                  <c:v>0.21806853582554533</c:v>
                </c:pt>
                <c:pt idx="2">
                  <c:v>0.20404984423676031</c:v>
                </c:pt>
                <c:pt idx="3">
                  <c:v>0.16043613707165122</c:v>
                </c:pt>
                <c:pt idx="4">
                  <c:v>9.1900311526479747E-2</c:v>
                </c:pt>
                <c:pt idx="5">
                  <c:v>0.14797507788161993</c:v>
                </c:pt>
                <c:pt idx="6">
                  <c:v>0.12149532710280374</c:v>
                </c:pt>
              </c:numCache>
            </c:numRef>
          </c:val>
        </c:ser>
        <c:dLbls>
          <c:showVal val="1"/>
        </c:dLbls>
        <c:gapWidth val="75"/>
        <c:axId val="69379968"/>
        <c:axId val="70539904"/>
      </c:barChart>
      <c:catAx>
        <c:axId val="6937996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70539904"/>
        <c:crossesAt val="0"/>
        <c:auto val="1"/>
        <c:lblAlgn val="ctr"/>
        <c:lblOffset val="100"/>
      </c:catAx>
      <c:valAx>
        <c:axId val="70539904"/>
        <c:scaling>
          <c:orientation val="minMax"/>
          <c:max val="0.35000000000000031"/>
          <c:min val="0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69379968"/>
        <c:crosses val="autoZero"/>
        <c:crossBetween val="between"/>
        <c:majorUnit val="0.05"/>
        <c:minorUnit val="1.0000000000000005E-2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layout/>
    </c:title>
    <c:plotArea>
      <c:layout>
        <c:manualLayout>
          <c:layoutTarget val="inner"/>
          <c:xMode val="edge"/>
          <c:yMode val="edge"/>
          <c:x val="7.9921916549823904E-2"/>
          <c:y val="2.7377924600902836E-2"/>
          <c:w val="0.90320069622395205"/>
          <c:h val="0.5927604103122385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Sheet1!$B$2:$N$2</c:f>
              <c:numCache>
                <c:formatCode>0.00%</c:formatCode>
                <c:ptCount val="13"/>
                <c:pt idx="0">
                  <c:v>4.8107175479549368E-2</c:v>
                </c:pt>
                <c:pt idx="1">
                  <c:v>5.0339997970161442E-2</c:v>
                </c:pt>
                <c:pt idx="2">
                  <c:v>0.10372475388206651</c:v>
                </c:pt>
                <c:pt idx="3">
                  <c:v>9.1951689840657672E-2</c:v>
                </c:pt>
                <c:pt idx="4">
                  <c:v>6.9217497208971968E-2</c:v>
                </c:pt>
                <c:pt idx="5">
                  <c:v>6.0184715315132462E-2</c:v>
                </c:pt>
                <c:pt idx="6">
                  <c:v>7.155181163097532E-2</c:v>
                </c:pt>
                <c:pt idx="7">
                  <c:v>8.4441286917690053E-2</c:v>
                </c:pt>
                <c:pt idx="8">
                  <c:v>0.11133664873642553</c:v>
                </c:pt>
                <c:pt idx="9">
                  <c:v>3.8972901654318479E-2</c:v>
                </c:pt>
                <c:pt idx="10">
                  <c:v>0.1160052775804325</c:v>
                </c:pt>
                <c:pt idx="11">
                  <c:v>7.0942860042626676E-2</c:v>
                </c:pt>
                <c:pt idx="12">
                  <c:v>8.3223383740992737E-2</c:v>
                </c:pt>
              </c:numCache>
            </c:numRef>
          </c:val>
        </c:ser>
        <c:dLbls>
          <c:showVal val="1"/>
        </c:dLbls>
        <c:axId val="61600128"/>
        <c:axId val="61601664"/>
      </c:barChart>
      <c:catAx>
        <c:axId val="61600128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61601664"/>
        <c:crosses val="autoZero"/>
        <c:auto val="1"/>
        <c:lblAlgn val="ctr"/>
        <c:lblOffset val="100"/>
        <c:tickLblSkip val="1"/>
        <c:tickMarkSkip val="1"/>
      </c:catAx>
      <c:valAx>
        <c:axId val="61601664"/>
        <c:scaling>
          <c:orientation val="minMax"/>
          <c:max val="0.14000000000000001"/>
        </c:scaling>
        <c:axPos val="l"/>
        <c:numFmt formatCode="0%" sourceLinked="0"/>
        <c:tickLblPos val="nextTo"/>
        <c:txPr>
          <a:bodyPr rot="0" vert="horz"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6160012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0.30782</cdr:x>
      <cdr:y>0.8751</cdr:y>
    </cdr:from>
    <cdr:to>
      <cdr:x>1</cdr:x>
      <cdr:y>0.99978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36104" y="1512168"/>
          <a:ext cx="2043315" cy="2154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9pPr>
        </a:lstStyle>
        <a:p xmlns:a="http://schemas.openxmlformats.org/drawingml/2006/main">
          <a:pPr lvl="0" algn="r" fontAlgn="b"/>
          <a:r>
            <a:rPr lang="ru-RU" sz="800" b="1" dirty="0" smtClean="0">
              <a:latin typeface="PT Sans" pitchFamily="34" charset="-52"/>
            </a:rPr>
            <a:t>декабрь 2013 года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0.30782</cdr:x>
      <cdr:y>0.86335</cdr:y>
    </cdr:from>
    <cdr:to>
      <cdr:x>1</cdr:x>
      <cdr:y>0.98803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08685" y="1491869"/>
          <a:ext cx="2043315" cy="2154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9pPr>
        </a:lstStyle>
        <a:p xmlns:a="http://schemas.openxmlformats.org/drawingml/2006/main">
          <a:pPr lvl="0" algn="r" fontAlgn="b"/>
          <a:r>
            <a:rPr lang="ru-RU" sz="800" b="1" dirty="0" smtClean="0">
              <a:latin typeface="PT Sans" pitchFamily="34" charset="-52"/>
            </a:rPr>
            <a:t>декабрь 2014 года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0.53664</cdr:x>
      <cdr:y>0.8747</cdr:y>
    </cdr:from>
    <cdr:to>
      <cdr:x>1</cdr:x>
      <cdr:y>0.99932</cdr:y>
    </cdr:to>
    <cdr:sp macro="" textlink="">
      <cdr:nvSpPr>
        <cdr:cNvPr id="6" name="Прямоугольник 5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84176" y="1512168"/>
          <a:ext cx="1367824" cy="2154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>
            <a:defRPr/>
          </a:pPr>
          <a:r>
            <a:rPr lang="ru-RU" sz="800" b="1" dirty="0" smtClean="0">
              <a:latin typeface="PT Sans"/>
              <a:cs typeface="Times New Roman" pitchFamily="18" charset="0"/>
            </a:rPr>
            <a:t>декабрь 2013 года</a:t>
          </a:r>
          <a:endParaRPr lang="ru-RU" sz="800" b="1" dirty="0">
            <a:latin typeface="PT Sans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0.89256</cdr:y>
    </cdr:from>
    <cdr:to>
      <cdr:x>0.41462</cdr:x>
      <cdr:y>1</cdr:y>
    </cdr:to>
    <cdr:pic>
      <cdr:nvPicPr>
        <cdr:cNvPr id="7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72008" y="1584176"/>
          <a:ext cx="1223962" cy="1857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0.55807</cdr:x>
      <cdr:y>0.8747</cdr:y>
    </cdr:from>
    <cdr:to>
      <cdr:x>1</cdr:x>
      <cdr:y>0.99932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46955" y="1512168"/>
          <a:ext cx="1304207" cy="2154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lvl1pPr marL="0" indent="0">
            <a:defRPr sz="1100">
              <a:latin typeface="Arial"/>
            </a:defRPr>
          </a:lvl1pPr>
          <a:lvl2pPr marL="457200" indent="0">
            <a:defRPr sz="1100">
              <a:latin typeface="Arial"/>
            </a:defRPr>
          </a:lvl2pPr>
          <a:lvl3pPr marL="914400" indent="0">
            <a:defRPr sz="1100">
              <a:latin typeface="Arial"/>
            </a:defRPr>
          </a:lvl3pPr>
          <a:lvl4pPr marL="1371600" indent="0">
            <a:defRPr sz="1100">
              <a:latin typeface="Arial"/>
            </a:defRPr>
          </a:lvl4pPr>
          <a:lvl5pPr marL="1828800" indent="0">
            <a:defRPr sz="1100">
              <a:latin typeface="Arial"/>
            </a:defRPr>
          </a:lvl5pPr>
          <a:lvl6pPr marL="2286000" indent="0">
            <a:defRPr sz="1100">
              <a:latin typeface="Arial"/>
            </a:defRPr>
          </a:lvl6pPr>
          <a:lvl7pPr marL="2743200" indent="0">
            <a:defRPr sz="1100">
              <a:latin typeface="Arial"/>
            </a:defRPr>
          </a:lvl7pPr>
          <a:lvl8pPr marL="3200400" indent="0">
            <a:defRPr sz="1100">
              <a:latin typeface="Arial"/>
            </a:defRPr>
          </a:lvl8pPr>
          <a:lvl9pPr marL="3657600" indent="0">
            <a:defRPr sz="1100">
              <a:latin typeface="Arial"/>
            </a:defRPr>
          </a:lvl9pPr>
        </a:lstStyle>
        <a:p xmlns:a="http://schemas.openxmlformats.org/drawingml/2006/main">
          <a:pPr algn="r">
            <a:defRPr/>
          </a:pPr>
          <a:r>
            <a:rPr lang="ru-RU" sz="800" b="1" dirty="0" smtClean="0">
              <a:latin typeface="PT Sans"/>
              <a:cs typeface="Times New Roman" pitchFamily="18" charset="0"/>
            </a:rPr>
            <a:t>декабрь 2014 года</a:t>
          </a:r>
          <a:endParaRPr lang="ru-RU" sz="800" b="1" dirty="0">
            <a:latin typeface="PT Sans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0.89256</cdr:y>
    </cdr:from>
    <cdr:to>
      <cdr:x>0.41474</cdr:x>
      <cdr:y>1</cdr:y>
    </cdr:to>
    <cdr:pic>
      <cdr:nvPicPr>
        <cdr:cNvPr id="4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1543051"/>
          <a:ext cx="1223962" cy="1857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0.30782</cdr:x>
      <cdr:y>0.8751</cdr:y>
    </cdr:from>
    <cdr:to>
      <cdr:x>1</cdr:x>
      <cdr:y>0.99978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36104" y="1512168"/>
          <a:ext cx="2043315" cy="2154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9pPr>
        </a:lstStyle>
        <a:p xmlns:a="http://schemas.openxmlformats.org/drawingml/2006/main">
          <a:pPr lvl="0" algn="r" fontAlgn="b"/>
          <a:r>
            <a:rPr lang="ru-RU" sz="800" b="1" dirty="0" smtClean="0">
              <a:latin typeface="PT Sans" pitchFamily="34" charset="-52"/>
            </a:rPr>
            <a:t>декабрь 2013 года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0.30782</cdr:x>
      <cdr:y>0.86335</cdr:y>
    </cdr:from>
    <cdr:to>
      <cdr:x>1</cdr:x>
      <cdr:y>0.98803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08685" y="1491869"/>
          <a:ext cx="2043315" cy="2154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9pPr>
        </a:lstStyle>
        <a:p xmlns:a="http://schemas.openxmlformats.org/drawingml/2006/main">
          <a:pPr lvl="0" algn="r" fontAlgn="b"/>
          <a:r>
            <a:rPr lang="ru-RU" sz="800" b="1" dirty="0" smtClean="0">
              <a:latin typeface="PT Sans" pitchFamily="34" charset="-52"/>
            </a:rPr>
            <a:t>декабрь 2014 года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8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12972</CharactersWithSpaces>
  <SharedDoc>false</SharedDoc>
  <HLinks>
    <vt:vector size="6" baseType="variant">
      <vt:variant>
        <vt:i4>3801099</vt:i4>
      </vt:variant>
      <vt:variant>
        <vt:i4>0</vt:i4>
      </vt:variant>
      <vt:variant>
        <vt:i4>0</vt:i4>
      </vt:variant>
      <vt:variant>
        <vt:i4>5</vt:i4>
      </vt:variant>
      <vt:variant>
        <vt:lpwstr>mailto:analitika@bn.ru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gnekrasova</cp:lastModifiedBy>
  <cp:revision>73</cp:revision>
  <dcterms:created xsi:type="dcterms:W3CDTF">2012-07-05T09:48:00Z</dcterms:created>
  <dcterms:modified xsi:type="dcterms:W3CDTF">2014-12-26T12:00:00Z</dcterms:modified>
</cp:coreProperties>
</file>