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81" w:rsidRPr="00F5664A" w:rsidRDefault="004F06CE" w:rsidP="00F5664A">
      <w:pPr>
        <w:spacing w:after="0"/>
        <w:jc w:val="both"/>
        <w:rPr>
          <w:rFonts w:ascii="Franklin Gothic Book" w:hAnsi="Franklin Gothic Book"/>
          <w:b/>
          <w:bCs/>
          <w:color w:val="333333"/>
          <w:sz w:val="28"/>
          <w:szCs w:val="28"/>
        </w:rPr>
      </w:pP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Общие тенденции на р</w:t>
      </w:r>
      <w:r w:rsidR="00E06B77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ынк</w:t>
      </w: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е</w:t>
      </w:r>
      <w:r w:rsidR="00CD5723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</w:t>
      </w:r>
      <w:r w:rsidR="007C209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>строящегося жилья</w:t>
      </w:r>
      <w:r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Санкт-Петербурга</w:t>
      </w:r>
      <w:r w:rsidR="002F2DC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. </w:t>
      </w:r>
    </w:p>
    <w:p w:rsidR="002F2DCE" w:rsidRPr="00F5664A" w:rsidRDefault="00E13721" w:rsidP="00F5664A">
      <w:pPr>
        <w:spacing w:after="0"/>
        <w:jc w:val="both"/>
        <w:rPr>
          <w:rFonts w:ascii="Franklin Gothic Book" w:hAnsi="Franklin Gothic Book"/>
          <w:b/>
          <w:bCs/>
          <w:color w:val="333333"/>
          <w:sz w:val="28"/>
          <w:szCs w:val="28"/>
        </w:rPr>
      </w:pPr>
      <w:r>
        <w:rPr>
          <w:rFonts w:ascii="Franklin Gothic Book" w:hAnsi="Franklin Gothic Book"/>
          <w:b/>
          <w:bCs/>
          <w:color w:val="333333"/>
          <w:sz w:val="28"/>
          <w:szCs w:val="28"/>
        </w:rPr>
        <w:t>Итоги</w:t>
      </w:r>
      <w:r w:rsidR="000C1FCE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2016</w:t>
      </w:r>
      <w:r w:rsidR="002F2DCE" w:rsidRPr="00F5664A">
        <w:rPr>
          <w:rFonts w:ascii="Franklin Gothic Book" w:hAnsi="Franklin Gothic Book"/>
          <w:b/>
          <w:bCs/>
          <w:color w:val="333333"/>
          <w:sz w:val="28"/>
          <w:szCs w:val="28"/>
        </w:rPr>
        <w:t xml:space="preserve"> года.</w:t>
      </w:r>
    </w:p>
    <w:p w:rsidR="00CA4B81" w:rsidRPr="00F5664A" w:rsidRDefault="00CA4B81" w:rsidP="00F5664A">
      <w:pPr>
        <w:jc w:val="both"/>
        <w:rPr>
          <w:rFonts w:ascii="Franklin Gothic Book" w:hAnsi="Franklin Gothic Book"/>
        </w:rPr>
      </w:pPr>
    </w:p>
    <w:p w:rsidR="00907FCD" w:rsidRPr="00F5664A" w:rsidRDefault="00907FCD" w:rsidP="00F5664A">
      <w:pPr>
        <w:jc w:val="both"/>
        <w:rPr>
          <w:rFonts w:ascii="Franklin Gothic Book" w:hAnsi="Franklin Gothic Book"/>
        </w:rPr>
      </w:pPr>
      <w:r w:rsidRPr="00F5664A">
        <w:rPr>
          <w:rFonts w:ascii="Franklin Gothic Book" w:hAnsi="Franklin Gothic Book"/>
        </w:rPr>
        <w:t xml:space="preserve">(Мария </w:t>
      </w:r>
      <w:proofErr w:type="spellStart"/>
      <w:r w:rsidRPr="00F5664A">
        <w:rPr>
          <w:rFonts w:ascii="Franklin Gothic Book" w:hAnsi="Franklin Gothic Book"/>
        </w:rPr>
        <w:t>Бент</w:t>
      </w:r>
      <w:proofErr w:type="spellEnd"/>
      <w:r w:rsidRPr="00F5664A">
        <w:rPr>
          <w:rFonts w:ascii="Franklin Gothic Book" w:hAnsi="Franklin Gothic Book"/>
        </w:rPr>
        <w:t>, САРН, ГК "Бюллетень Недвижимости")</w:t>
      </w:r>
    </w:p>
    <w:p w:rsidR="002F2DCE" w:rsidRPr="00F5664A" w:rsidRDefault="002F2DCE" w:rsidP="00F5664A">
      <w:pPr>
        <w:jc w:val="both"/>
        <w:rPr>
          <w:rFonts w:ascii="Franklin Gothic Book" w:hAnsi="Franklin Gothic Book"/>
          <w:sz w:val="18"/>
          <w:szCs w:val="18"/>
        </w:rPr>
      </w:pPr>
      <w:r w:rsidRPr="00F5664A">
        <w:rPr>
          <w:rFonts w:ascii="Franklin Gothic Book" w:hAnsi="Franklin Gothic Book"/>
          <w:sz w:val="18"/>
          <w:szCs w:val="18"/>
        </w:rPr>
        <w:t>___________________________________________________________________</w:t>
      </w:r>
      <w:r w:rsidR="003B7C2F" w:rsidRPr="00F5664A">
        <w:rPr>
          <w:rFonts w:ascii="Franklin Gothic Book" w:hAnsi="Franklin Gothic Book"/>
          <w:sz w:val="18"/>
          <w:szCs w:val="18"/>
        </w:rPr>
        <w:t>_______________________</w:t>
      </w:r>
      <w:r w:rsidRPr="00F5664A">
        <w:rPr>
          <w:rFonts w:ascii="Franklin Gothic Book" w:hAnsi="Franklin Gothic Book"/>
          <w:sz w:val="18"/>
          <w:szCs w:val="18"/>
        </w:rPr>
        <w:t>_______</w:t>
      </w:r>
    </w:p>
    <w:p w:rsidR="00E13721" w:rsidRPr="00E13721" w:rsidRDefault="00E13721" w:rsidP="00E13721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bookmarkStart w:id="0" w:name="OLE_LINK5"/>
      <w:r w:rsidRPr="00E13721">
        <w:rPr>
          <w:rFonts w:ascii="Franklin Gothic Book" w:hAnsi="Franklin Gothic Book"/>
          <w:sz w:val="22"/>
          <w:szCs w:val="22"/>
        </w:rPr>
        <w:t>За минувший год изменение средней цены предложения на рынке новостроек в рублевом эквиваленте составило 3,1%, это 3096 руб. с кв. м. Показатель средней цены предложения в декабре 2016 года составил 103,5 тыс. руб. за кв. м.</w:t>
      </w:r>
    </w:p>
    <w:p w:rsidR="00F5664A" w:rsidRPr="009872AF" w:rsidRDefault="00F5664A" w:rsidP="00756F5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844"/>
      </w:tblGrid>
      <w:tr w:rsidR="00F5664A" w:rsidRPr="00F5664A" w:rsidTr="00F5664A">
        <w:tc>
          <w:tcPr>
            <w:tcW w:w="5306" w:type="dxa"/>
          </w:tcPr>
          <w:p w:rsidR="00F5664A" w:rsidRPr="00F5664A" w:rsidRDefault="00E13721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13721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1EE3965B" wp14:editId="0FED7A87">
                  <wp:extent cx="2830150" cy="1623505"/>
                  <wp:effectExtent l="0" t="0" r="8890" b="1524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 w:rsidR="00457E3A">
              <w:rPr>
                <w:rFonts w:ascii="Franklin Gothic Book" w:hAnsi="Franklin Gothic Book"/>
                <w:sz w:val="28"/>
                <w:szCs w:val="28"/>
              </w:rPr>
              <w:t xml:space="preserve">         </w:t>
            </w:r>
            <w:r w:rsidR="00457E3A" w:rsidRPr="00457E3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2E417953" wp14:editId="20D836AD">
                  <wp:extent cx="1223962" cy="185738"/>
                  <wp:effectExtent l="19050" t="0" r="0" b="0"/>
                  <wp:docPr id="17" name="Рисунок 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</w:tcPr>
          <w:p w:rsidR="00F5664A" w:rsidRPr="00F5664A" w:rsidRDefault="00E13721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13721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4190DBAC" wp14:editId="06380A39">
                  <wp:extent cx="2902251" cy="1695736"/>
                  <wp:effectExtent l="0" t="0" r="1270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457E3A">
              <w:rPr>
                <w:rFonts w:ascii="Franklin Gothic Book" w:hAnsi="Franklin Gothic Book"/>
                <w:sz w:val="28"/>
                <w:szCs w:val="28"/>
              </w:rPr>
              <w:t xml:space="preserve">     </w:t>
            </w:r>
            <w:r w:rsidR="00457E3A" w:rsidRPr="00457E3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50E0200E" wp14:editId="413A8C2F">
                  <wp:extent cx="1223962" cy="185738"/>
                  <wp:effectExtent l="19050" t="0" r="0" b="0"/>
                  <wp:docPr id="13" name="Рисунок 6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64A" w:rsidRPr="00F5664A" w:rsidTr="00F5664A">
        <w:tc>
          <w:tcPr>
            <w:tcW w:w="5306" w:type="dxa"/>
          </w:tcPr>
          <w:p w:rsidR="00F5664A" w:rsidRPr="00860E43" w:rsidRDefault="00F5664A" w:rsidP="00B25660">
            <w:pPr>
              <w:pStyle w:val="Tabledate"/>
              <w:numPr>
                <w:ilvl w:val="0"/>
                <w:numId w:val="1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860E43">
              <w:rPr>
                <w:rFonts w:ascii="Franklin Gothic Book" w:hAnsi="Franklin Gothic Book"/>
                <w:i/>
                <w:iCs/>
                <w:sz w:val="22"/>
                <w:szCs w:val="22"/>
              </w:rPr>
              <w:t>Динамика цен на рынке строящегося жилья, руб./кв. м</w:t>
            </w:r>
          </w:p>
        </w:tc>
        <w:tc>
          <w:tcPr>
            <w:tcW w:w="5376" w:type="dxa"/>
          </w:tcPr>
          <w:p w:rsidR="00F5664A" w:rsidRPr="00860E43" w:rsidRDefault="00F5664A" w:rsidP="00B25660">
            <w:pPr>
              <w:pStyle w:val="Tabledate"/>
              <w:numPr>
                <w:ilvl w:val="0"/>
                <w:numId w:val="1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860E43">
              <w:rPr>
                <w:rFonts w:ascii="Franklin Gothic Book" w:hAnsi="Franklin Gothic Book"/>
                <w:i/>
                <w:iCs/>
                <w:sz w:val="22"/>
                <w:szCs w:val="22"/>
              </w:rPr>
              <w:t>Изменение цены, % к предыдущему месяцу</w:t>
            </w:r>
          </w:p>
        </w:tc>
      </w:tr>
    </w:tbl>
    <w:p w:rsidR="00457E3A" w:rsidRPr="00F5664A" w:rsidRDefault="00457E3A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E13721" w:rsidRPr="00E13721" w:rsidRDefault="00E13721" w:rsidP="00E13721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E13721">
        <w:rPr>
          <w:rFonts w:ascii="Franklin Gothic Book" w:hAnsi="Franklin Gothic Book"/>
          <w:sz w:val="22"/>
          <w:szCs w:val="22"/>
        </w:rPr>
        <w:t>Доля квартир, цена квадратного метра которых меньше 80 тыс. руб., составляет на конец 2016 года 22,1% от общего объема предложения. Большую долю рынка занимают цены в диапазоне от 80 до 110 тыс. руб. за кв. м, это 41,2% от объема квартир, выставленных в декабре на продажу. Диапазон стоимости квадратного метра от 110 до 140 тыс. руб. – 23,1%. Доля дорогих объектов, цена которых превышает 140 тыс. руб. за кв. м, в декабре 2016 года составляет 13,5% от всего предложения.</w:t>
      </w:r>
    </w:p>
    <w:p w:rsidR="00A203F6" w:rsidRPr="00A203F6" w:rsidRDefault="00A203F6" w:rsidP="00457E3A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457E3A" w:rsidRDefault="00E13721" w:rsidP="00457E3A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E13721">
        <w:rPr>
          <w:rFonts w:ascii="Franklin Gothic Book" w:hAnsi="Franklin Gothic Book"/>
          <w:i/>
          <w:iCs/>
          <w:sz w:val="24"/>
          <w:szCs w:val="24"/>
        </w:rPr>
        <w:drawing>
          <wp:inline distT="0" distB="0" distL="0" distR="0" wp14:anchorId="30DDC324" wp14:editId="39BACE50">
            <wp:extent cx="2830150" cy="1880952"/>
            <wp:effectExtent l="0" t="0" r="889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7E3A" w:rsidRPr="00457E3A" w:rsidRDefault="00457E3A" w:rsidP="00457E3A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                                        </w:t>
      </w:r>
      <w:r w:rsidRPr="00457E3A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46A4C46E" wp14:editId="3A108E4C">
            <wp:extent cx="1223962" cy="185738"/>
            <wp:effectExtent l="19050" t="0" r="0" b="0"/>
            <wp:docPr id="27" name="Рисунок 6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3A" w:rsidRDefault="00B25660" w:rsidP="00457E3A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860E43">
        <w:rPr>
          <w:rFonts w:ascii="Franklin Gothic Book" w:hAnsi="Franklin Gothic Book"/>
          <w:i/>
          <w:iCs/>
          <w:sz w:val="22"/>
          <w:szCs w:val="22"/>
        </w:rPr>
        <w:t>Распределение цены (тыс. руб./кв. м), % от общего объема предложения</w:t>
      </w:r>
    </w:p>
    <w:p w:rsidR="00614562" w:rsidRPr="00457E3A" w:rsidRDefault="00614562" w:rsidP="00614562">
      <w:pPr>
        <w:pStyle w:val="Tabledate"/>
        <w:ind w:left="720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B25660" w:rsidRPr="00860E43" w:rsidRDefault="00B25660" w:rsidP="00B25660">
      <w:pPr>
        <w:pStyle w:val="Tabledate"/>
        <w:numPr>
          <w:ilvl w:val="0"/>
          <w:numId w:val="2"/>
        </w:numPr>
        <w:rPr>
          <w:rFonts w:ascii="Franklin Gothic Book" w:hAnsi="Franklin Gothic Book"/>
          <w:i/>
          <w:iCs/>
          <w:sz w:val="22"/>
          <w:szCs w:val="22"/>
        </w:rPr>
      </w:pPr>
      <w:r w:rsidRPr="00860E43">
        <w:rPr>
          <w:rFonts w:ascii="Franklin Gothic Book" w:hAnsi="Franklin Gothic Book"/>
          <w:i/>
          <w:iCs/>
          <w:sz w:val="22"/>
          <w:szCs w:val="22"/>
        </w:rPr>
        <w:t>Распределение цены (тыс. руб./кв. м), % от общего объема предложения</w:t>
      </w:r>
    </w:p>
    <w:tbl>
      <w:tblPr>
        <w:tblW w:w="935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094"/>
        <w:gridCol w:w="3565"/>
      </w:tblGrid>
      <w:tr w:rsidR="00E13721" w:rsidRPr="00E00BD7" w:rsidTr="00F32E2A">
        <w:trPr>
          <w:trHeight w:val="6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Тыс. руб./кв. м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Декабрь 2015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Декабрь 2016</w:t>
            </w:r>
          </w:p>
        </w:tc>
      </w:tr>
      <w:tr w:rsidR="00E13721" w:rsidRPr="00E00BD7" w:rsidTr="00B828A4">
        <w:trPr>
          <w:trHeight w:val="5"/>
          <w:jc w:val="center"/>
        </w:trPr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&lt;65</w:t>
            </w:r>
          </w:p>
        </w:tc>
        <w:tc>
          <w:tcPr>
            <w:tcW w:w="3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9.13%</w:t>
            </w:r>
          </w:p>
        </w:tc>
        <w:tc>
          <w:tcPr>
            <w:tcW w:w="3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2.02%</w:t>
            </w:r>
          </w:p>
        </w:tc>
      </w:tr>
      <w:tr w:rsidR="00E13721" w:rsidRPr="00E00BD7" w:rsidTr="00B828A4">
        <w:trPr>
          <w:trHeight w:val="4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65-80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20.97%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20.10%</w:t>
            </w:r>
          </w:p>
        </w:tc>
      </w:tr>
      <w:tr w:rsidR="00E13721" w:rsidRPr="00E00BD7" w:rsidTr="00B828A4">
        <w:trPr>
          <w:trHeight w:val="5"/>
          <w:jc w:val="center"/>
        </w:trPr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80-95</w:t>
            </w:r>
          </w:p>
        </w:tc>
        <w:tc>
          <w:tcPr>
            <w:tcW w:w="30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25.73%</w:t>
            </w:r>
          </w:p>
        </w:tc>
        <w:tc>
          <w:tcPr>
            <w:tcW w:w="35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19.31%</w:t>
            </w:r>
          </w:p>
        </w:tc>
      </w:tr>
      <w:tr w:rsidR="00E13721" w:rsidRPr="00E00BD7" w:rsidTr="00B828A4">
        <w:trPr>
          <w:trHeight w:val="4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95-110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14.77%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21.92%</w:t>
            </w:r>
          </w:p>
        </w:tc>
      </w:tr>
      <w:tr w:rsidR="00E13721" w:rsidRPr="00E00BD7" w:rsidTr="00B828A4">
        <w:trPr>
          <w:trHeight w:val="340"/>
          <w:jc w:val="center"/>
        </w:trPr>
        <w:tc>
          <w:tcPr>
            <w:tcW w:w="270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110-125</w:t>
            </w:r>
          </w:p>
        </w:tc>
        <w:tc>
          <w:tcPr>
            <w:tcW w:w="3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10.70%</w:t>
            </w:r>
          </w:p>
        </w:tc>
        <w:tc>
          <w:tcPr>
            <w:tcW w:w="356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15.46%</w:t>
            </w:r>
          </w:p>
        </w:tc>
      </w:tr>
      <w:tr w:rsidR="00E13721" w:rsidRPr="00E00BD7" w:rsidTr="00B828A4">
        <w:trPr>
          <w:trHeight w:val="34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lastRenderedPageBreak/>
              <w:t>125-140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6.19%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7.66%</w:t>
            </w:r>
          </w:p>
        </w:tc>
      </w:tr>
      <w:tr w:rsidR="00E13721" w:rsidRPr="00E00BD7" w:rsidTr="00B828A4">
        <w:trPr>
          <w:trHeight w:val="340"/>
          <w:jc w:val="center"/>
        </w:trPr>
        <w:tc>
          <w:tcPr>
            <w:tcW w:w="270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140-155</w:t>
            </w:r>
          </w:p>
        </w:tc>
        <w:tc>
          <w:tcPr>
            <w:tcW w:w="3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4.89%</w:t>
            </w:r>
          </w:p>
        </w:tc>
        <w:tc>
          <w:tcPr>
            <w:tcW w:w="356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5.37%</w:t>
            </w:r>
          </w:p>
        </w:tc>
      </w:tr>
      <w:tr w:rsidR="00E13721" w:rsidRPr="00E00BD7" w:rsidTr="00B828A4">
        <w:trPr>
          <w:trHeight w:val="34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155-170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2.36%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2.54%</w:t>
            </w:r>
          </w:p>
        </w:tc>
      </w:tr>
      <w:tr w:rsidR="00E13721" w:rsidRPr="00E00BD7" w:rsidTr="00B828A4">
        <w:trPr>
          <w:trHeight w:val="340"/>
          <w:jc w:val="center"/>
        </w:trPr>
        <w:tc>
          <w:tcPr>
            <w:tcW w:w="2700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&gt;170</w:t>
            </w:r>
          </w:p>
        </w:tc>
        <w:tc>
          <w:tcPr>
            <w:tcW w:w="3094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5.26%</w:t>
            </w:r>
          </w:p>
        </w:tc>
        <w:tc>
          <w:tcPr>
            <w:tcW w:w="356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3721" w:rsidRPr="00E13721" w:rsidRDefault="00E13721" w:rsidP="00E13721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E13721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5.62%</w:t>
            </w:r>
          </w:p>
        </w:tc>
      </w:tr>
    </w:tbl>
    <w:p w:rsidR="00B25660" w:rsidRDefault="00B25660" w:rsidP="00F5664A">
      <w:pPr>
        <w:pStyle w:val="a5"/>
        <w:spacing w:before="0" w:beforeAutospacing="0" w:after="0" w:afterAutospacing="0" w:line="263" w:lineRule="atLeast"/>
        <w:jc w:val="both"/>
        <w:textAlignment w:val="bottom"/>
        <w:rPr>
          <w:rFonts w:ascii="Franklin Gothic Book" w:hAnsi="Franklin Gothic Book" w:cs="Arial CYR"/>
          <w:color w:val="000000"/>
          <w:kern w:val="24"/>
          <w:sz w:val="20"/>
          <w:szCs w:val="20"/>
        </w:rPr>
        <w:sectPr w:rsidR="00B25660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C2F" w:rsidRPr="00F5664A" w:rsidRDefault="003B7C2F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E13721" w:rsidRPr="00E13721" w:rsidRDefault="00E13721" w:rsidP="00E13721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E13721">
        <w:rPr>
          <w:rFonts w:ascii="Franklin Gothic Book" w:hAnsi="Franklin Gothic Book"/>
          <w:sz w:val="22"/>
          <w:szCs w:val="22"/>
        </w:rPr>
        <w:t>В среднем по рынку строящегося жилья за прошедший год процент изменения цены предложения на студии и однокомнатные квартиры составил 3%, на двухкомнатные – 3,6%. Трехкомнатные подорожали на 2,7%. Средние цены в декабре 2016 года для однокомнатных квартир – 3,9 млн руб., двухкомнатных – 6,6 млн руб., трехкомнатных – 9,7 млн руб.</w:t>
      </w:r>
    </w:p>
    <w:p w:rsidR="00614562" w:rsidRPr="00614562" w:rsidRDefault="00614562" w:rsidP="0061456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E13721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E13721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6134CE9C" wp14:editId="5CFD6EE2">
            <wp:extent cx="2813993" cy="1549752"/>
            <wp:effectExtent l="0" t="0" r="5715" b="127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48A8" w:rsidRPr="00F5664A" w:rsidRDefault="00F948A8" w:rsidP="00F948A8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</w:t>
      </w:r>
      <w:r w:rsidRPr="00EC376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04E2C4C5" wp14:editId="0AA35FB5">
            <wp:extent cx="1223962" cy="185738"/>
            <wp:effectExtent l="19050" t="0" r="0" b="0"/>
            <wp:docPr id="57" name="Рисунок 32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8E68DE" w:rsidRDefault="00F948A8" w:rsidP="00F948A8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Динамика цен по типу квартиры, руб./кв. м</w:t>
      </w:r>
    </w:p>
    <w:p w:rsidR="00F948A8" w:rsidRPr="000C5183" w:rsidRDefault="00F948A8" w:rsidP="00F948A8">
      <w:pPr>
        <w:pStyle w:val="Tabledate"/>
        <w:jc w:val="left"/>
        <w:rPr>
          <w:rFonts w:ascii="Franklin Gothic Book" w:hAnsi="Franklin Gothic Book"/>
          <w:i/>
          <w:iCs/>
          <w:sz w:val="22"/>
          <w:szCs w:val="22"/>
        </w:rPr>
      </w:pPr>
    </w:p>
    <w:p w:rsidR="00F948A8" w:rsidRPr="000C5183" w:rsidRDefault="00F948A8" w:rsidP="00F948A8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типу квартиры, руб./кв. м</w:t>
      </w:r>
    </w:p>
    <w:tbl>
      <w:tblPr>
        <w:tblW w:w="937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877"/>
        <w:gridCol w:w="1877"/>
        <w:gridCol w:w="1877"/>
        <w:gridCol w:w="1877"/>
      </w:tblGrid>
      <w:tr w:rsidR="007849BD" w:rsidRPr="009957E7" w:rsidTr="00E43835">
        <w:trPr>
          <w:trHeight w:val="454"/>
        </w:trPr>
        <w:tc>
          <w:tcPr>
            <w:tcW w:w="18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4B2969" w:rsidRDefault="007849BD" w:rsidP="007849BD">
            <w:pPr>
              <w:pStyle w:val="Tabledate"/>
              <w:rPr>
                <w:rFonts w:ascii="Franklin Gothic Book" w:hAnsi="Franklin Gothic Book" w:cs="Arial"/>
                <w:i/>
                <w:iCs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Тип квартиры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4B2969" w:rsidRDefault="007849BD" w:rsidP="007849BD">
            <w:pPr>
              <w:pStyle w:val="Tabledate"/>
              <w:rPr>
                <w:rFonts w:ascii="Franklin Gothic Book" w:hAnsi="Franklin Gothic Book" w:cs="Arial"/>
                <w:i/>
              </w:rPr>
            </w:pPr>
            <w:r w:rsidRPr="004B2969">
              <w:rPr>
                <w:rFonts w:ascii="Franklin Gothic Book" w:hAnsi="Franklin Gothic Book" w:cs="Arial"/>
                <w:b/>
                <w:bCs/>
                <w:i/>
                <w:iCs/>
              </w:rPr>
              <w:t>Цена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Декабрь 2015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Декабрь 2016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 за год</w:t>
            </w:r>
          </w:p>
        </w:tc>
      </w:tr>
      <w:tr w:rsidR="007849BD" w:rsidRPr="00D76AB2" w:rsidTr="004942D6">
        <w:trPr>
          <w:trHeight w:val="454"/>
        </w:trPr>
        <w:tc>
          <w:tcPr>
            <w:tcW w:w="1863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0C5183" w:rsidRDefault="007849BD" w:rsidP="007849BD">
            <w:pPr>
              <w:spacing w:after="0" w:line="306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1ккв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0C5183" w:rsidRDefault="007849BD" w:rsidP="007849BD">
            <w:pPr>
              <w:pStyle w:val="a5"/>
              <w:spacing w:before="0" w:beforeAutospacing="0" w:after="0" w:afterAutospacing="0" w:line="308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3 628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3 927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7849BD" w:rsidRPr="00D76AB2" w:rsidTr="004942D6">
        <w:trPr>
          <w:trHeight w:val="454"/>
        </w:trPr>
        <w:tc>
          <w:tcPr>
            <w:tcW w:w="1863" w:type="dxa"/>
            <w:vMerge/>
            <w:vAlign w:val="center"/>
            <w:hideMark/>
          </w:tcPr>
          <w:p w:rsidR="007849BD" w:rsidRPr="000C5183" w:rsidRDefault="007849BD" w:rsidP="007849B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0C5183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97 551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100 460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2.98%</w:t>
            </w:r>
          </w:p>
        </w:tc>
      </w:tr>
      <w:tr w:rsidR="007849BD" w:rsidRPr="00D76AB2" w:rsidTr="004942D6">
        <w:trPr>
          <w:trHeight w:val="454"/>
        </w:trPr>
        <w:tc>
          <w:tcPr>
            <w:tcW w:w="1863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0C5183" w:rsidRDefault="007849BD" w:rsidP="007849BD">
            <w:pPr>
              <w:spacing w:after="0" w:line="300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2ккв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0C5183" w:rsidRDefault="007849BD" w:rsidP="007849BD">
            <w:pPr>
              <w:pStyle w:val="a5"/>
              <w:spacing w:before="0" w:beforeAutospacing="0" w:after="0" w:afterAutospacing="0" w:line="300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6 335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6 563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7849BD" w:rsidRPr="00D76AB2" w:rsidTr="004942D6">
        <w:trPr>
          <w:trHeight w:val="454"/>
        </w:trPr>
        <w:tc>
          <w:tcPr>
            <w:tcW w:w="1863" w:type="dxa"/>
            <w:vMerge/>
            <w:vAlign w:val="center"/>
            <w:hideMark/>
          </w:tcPr>
          <w:p w:rsidR="007849BD" w:rsidRPr="000C5183" w:rsidRDefault="007849BD" w:rsidP="007849B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0C5183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99 236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102 773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3.56%</w:t>
            </w:r>
          </w:p>
        </w:tc>
      </w:tr>
      <w:tr w:rsidR="007849BD" w:rsidRPr="00D76AB2" w:rsidTr="004942D6">
        <w:trPr>
          <w:trHeight w:val="454"/>
        </w:trPr>
        <w:tc>
          <w:tcPr>
            <w:tcW w:w="1863" w:type="dxa"/>
            <w:vMerge w:val="restart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0C5183" w:rsidRDefault="007849BD" w:rsidP="007849BD">
            <w:pPr>
              <w:spacing w:after="0" w:line="300" w:lineRule="atLeast"/>
              <w:jc w:val="center"/>
              <w:textAlignment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3ккв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0C5183" w:rsidRDefault="007849BD" w:rsidP="007849BD">
            <w:pPr>
              <w:pStyle w:val="a5"/>
              <w:spacing w:before="0" w:beforeAutospacing="0" w:after="0" w:afterAutospacing="0" w:line="260" w:lineRule="atLeast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тыс.  руб.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9 303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9 745</w:t>
            </w:r>
          </w:p>
        </w:tc>
        <w:tc>
          <w:tcPr>
            <w:tcW w:w="18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7849BD" w:rsidRPr="00D76AB2" w:rsidTr="004942D6">
        <w:trPr>
          <w:trHeight w:val="454"/>
        </w:trPr>
        <w:tc>
          <w:tcPr>
            <w:tcW w:w="1863" w:type="dxa"/>
            <w:vMerge/>
            <w:vAlign w:val="center"/>
            <w:hideMark/>
          </w:tcPr>
          <w:p w:rsidR="007849BD" w:rsidRPr="000C5183" w:rsidRDefault="007849BD" w:rsidP="007849B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0C5183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0C5183">
              <w:rPr>
                <w:rFonts w:ascii="Franklin Gothic Book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руб./кв. м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103 328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106 134</w:t>
            </w:r>
          </w:p>
        </w:tc>
        <w:tc>
          <w:tcPr>
            <w:tcW w:w="187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2.72%</w:t>
            </w:r>
          </w:p>
        </w:tc>
      </w:tr>
    </w:tbl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F948A8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8A8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7849BD" w:rsidRPr="007849BD" w:rsidRDefault="007849BD" w:rsidP="007849B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849BD">
        <w:rPr>
          <w:rFonts w:ascii="Franklin Gothic Book" w:hAnsi="Franklin Gothic Book"/>
          <w:sz w:val="22"/>
          <w:szCs w:val="22"/>
        </w:rPr>
        <w:t xml:space="preserve">По типу дома на рынке строящегося жилья за прошедший год изменение цены предложения в кирпично-монолитных домах по отношению к декабрю 2015 года составило 4,4%. Панельные дома подорожали на 4,6%. Самые дорогие квартиры предлагаются в домах кирпично-монолитной постройки, в декабре 2016 года средняя цена предложения в целом по рынку новостроек составила 104,5 тыс. руб. за кв. м. Стоимость квадратного метра в панельных строящихся домах на конец года – 94,1 тыс. руб. </w:t>
      </w:r>
    </w:p>
    <w:p w:rsidR="00DF3D28" w:rsidRPr="00DF3D28" w:rsidRDefault="00DF3D28" w:rsidP="00DF3D2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7849BD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7849BD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47AF1B6D" wp14:editId="7FD78C71">
            <wp:extent cx="2808314" cy="1480634"/>
            <wp:effectExtent l="0" t="0" r="1143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48A8" w:rsidRDefault="00F948A8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EC376A">
        <w:rPr>
          <w:rFonts w:ascii="Franklin Gothic Book" w:hAnsi="Franklin Gothic Book" w:cs="Times New Roman"/>
          <w:noProof/>
          <w:sz w:val="22"/>
          <w:szCs w:val="22"/>
        </w:rPr>
        <w:lastRenderedPageBreak/>
        <w:drawing>
          <wp:inline distT="0" distB="0" distL="0" distR="0" wp14:anchorId="519030B9" wp14:editId="23AA0200">
            <wp:extent cx="1223962" cy="185738"/>
            <wp:effectExtent l="19050" t="0" r="0" b="0"/>
            <wp:docPr id="59" name="Рисунок 3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0C5183" w:rsidRDefault="00F948A8" w:rsidP="00F948A8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Динамика цен по типу дома, руб./кв. м</w:t>
      </w:r>
    </w:p>
    <w:p w:rsidR="00F948A8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F948A8" w:rsidRPr="000C5183" w:rsidRDefault="00F948A8" w:rsidP="00F948A8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типу дома, руб./кв. м</w:t>
      </w:r>
    </w:p>
    <w:tbl>
      <w:tblPr>
        <w:tblW w:w="93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2283"/>
        <w:gridCol w:w="1757"/>
        <w:gridCol w:w="2148"/>
      </w:tblGrid>
      <w:tr w:rsidR="007849BD" w:rsidRPr="00FC3084" w:rsidTr="00E43835">
        <w:trPr>
          <w:trHeight w:val="300"/>
        </w:trPr>
        <w:tc>
          <w:tcPr>
            <w:tcW w:w="31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151064" w:rsidRDefault="007849BD" w:rsidP="007849BD">
            <w:pPr>
              <w:pStyle w:val="Tabledate"/>
              <w:rPr>
                <w:rFonts w:ascii="Franklin Gothic Book" w:hAnsi="Franklin Gothic Book" w:cs="Arial"/>
              </w:rPr>
            </w:pPr>
            <w:r w:rsidRPr="00151064">
              <w:rPr>
                <w:rFonts w:ascii="Franklin Gothic Book" w:hAnsi="Franklin Gothic Book" w:cs="Arial"/>
                <w:b/>
                <w:bCs/>
                <w:i/>
                <w:iCs/>
              </w:rPr>
              <w:t>Тип дома</w:t>
            </w:r>
          </w:p>
        </w:tc>
        <w:tc>
          <w:tcPr>
            <w:tcW w:w="228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Декабрь 2015</w:t>
            </w:r>
          </w:p>
        </w:tc>
        <w:tc>
          <w:tcPr>
            <w:tcW w:w="175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Декабрь 2016</w:t>
            </w:r>
          </w:p>
        </w:tc>
        <w:tc>
          <w:tcPr>
            <w:tcW w:w="214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b/>
                <w:bCs/>
                <w:color w:val="000000"/>
                <w:kern w:val="24"/>
                <w:sz w:val="18"/>
                <w:szCs w:val="18"/>
              </w:rPr>
              <w:t>Изменение за год</w:t>
            </w:r>
          </w:p>
        </w:tc>
      </w:tr>
      <w:tr w:rsidR="007849BD" w:rsidRPr="00FC3084" w:rsidTr="0081108A">
        <w:trPr>
          <w:trHeight w:val="540"/>
        </w:trPr>
        <w:tc>
          <w:tcPr>
            <w:tcW w:w="318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0C5183" w:rsidRDefault="007849BD" w:rsidP="007849BD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Панель</w:t>
            </w:r>
          </w:p>
        </w:tc>
        <w:tc>
          <w:tcPr>
            <w:tcW w:w="22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89 894</w:t>
            </w:r>
          </w:p>
        </w:tc>
        <w:tc>
          <w:tcPr>
            <w:tcW w:w="17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94 053</w:t>
            </w:r>
          </w:p>
        </w:tc>
        <w:tc>
          <w:tcPr>
            <w:tcW w:w="21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4.63%</w:t>
            </w:r>
          </w:p>
        </w:tc>
      </w:tr>
      <w:tr w:rsidR="007849BD" w:rsidRPr="00FC3084" w:rsidTr="0081108A">
        <w:trPr>
          <w:trHeight w:val="580"/>
        </w:trPr>
        <w:tc>
          <w:tcPr>
            <w:tcW w:w="3181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0C5183" w:rsidRDefault="007849BD" w:rsidP="007849BD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0C518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Кирпич/монолит</w:t>
            </w:r>
          </w:p>
        </w:tc>
        <w:tc>
          <w:tcPr>
            <w:tcW w:w="2283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100 092</w:t>
            </w:r>
          </w:p>
        </w:tc>
        <w:tc>
          <w:tcPr>
            <w:tcW w:w="175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104 521</w:t>
            </w:r>
          </w:p>
        </w:tc>
        <w:tc>
          <w:tcPr>
            <w:tcW w:w="214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4.42%</w:t>
            </w:r>
          </w:p>
        </w:tc>
      </w:tr>
    </w:tbl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F948A8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8A8" w:rsidRDefault="00F948A8" w:rsidP="00F948A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F948A8" w:rsidRPr="00F5664A" w:rsidRDefault="00F948A8" w:rsidP="00F948A8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7849BD" w:rsidRPr="007849BD" w:rsidRDefault="007849BD" w:rsidP="007849B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849BD">
        <w:rPr>
          <w:rFonts w:ascii="Franklin Gothic Book" w:hAnsi="Franklin Gothic Book"/>
          <w:sz w:val="22"/>
          <w:szCs w:val="22"/>
        </w:rPr>
        <w:t xml:space="preserve">Самое дорогое жилье на рынке строящегося жилья предлагается в центральных районах города – Центральном, Петроградском, Адмиралтейском и Василеостровском. Средняя цена «квадрата» жилья в них – от 116,5 до 197 тыс. руб. Самые дешевые квартиры – в Невском и Выборгском районах, квадратный метр жилья в них стоит в среднем от 82,3 тыс. руб. в зависимости от типа квартиры и типа дома. </w:t>
      </w:r>
    </w:p>
    <w:p w:rsidR="00F948A8" w:rsidRPr="0023182B" w:rsidRDefault="00F948A8" w:rsidP="00F948A8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F948A8" w:rsidRPr="00411163" w:rsidRDefault="00F948A8" w:rsidP="00F948A8">
      <w:pPr>
        <w:pStyle w:val="Tabledate"/>
        <w:numPr>
          <w:ilvl w:val="0"/>
          <w:numId w:val="2"/>
        </w:numPr>
        <w:jc w:val="both"/>
        <w:rPr>
          <w:rFonts w:ascii="Franklin Gothic Book" w:hAnsi="Franklin Gothic Book" w:cs="Times New Roman"/>
          <w:sz w:val="22"/>
          <w:szCs w:val="22"/>
        </w:rPr>
      </w:pPr>
      <w:r w:rsidRPr="0023182B">
        <w:rPr>
          <w:rFonts w:ascii="Franklin Gothic Book" w:hAnsi="Franklin Gothic Book"/>
          <w:i/>
          <w:iCs/>
          <w:sz w:val="28"/>
          <w:szCs w:val="28"/>
        </w:rPr>
        <w:t xml:space="preserve"> </w:t>
      </w:r>
      <w:r w:rsidRPr="00411163">
        <w:rPr>
          <w:rFonts w:ascii="Franklin Gothic Book" w:hAnsi="Franklin Gothic Book"/>
          <w:i/>
          <w:iCs/>
          <w:sz w:val="22"/>
          <w:szCs w:val="22"/>
        </w:rPr>
        <w:t>Цены по районам и типам квартир, руб./кв. м</w:t>
      </w:r>
    </w:p>
    <w:tbl>
      <w:tblPr>
        <w:tblW w:w="94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1215"/>
        <w:gridCol w:w="1217"/>
        <w:gridCol w:w="1118"/>
        <w:gridCol w:w="1335"/>
        <w:gridCol w:w="1337"/>
        <w:gridCol w:w="1219"/>
      </w:tblGrid>
      <w:tr w:rsidR="00F948A8" w:rsidRPr="00E00BD7" w:rsidTr="00E43835">
        <w:trPr>
          <w:trHeight w:val="33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E00BD7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lang w:eastAsia="ru-RU"/>
              </w:rPr>
            </w:pPr>
          </w:p>
        </w:tc>
        <w:tc>
          <w:tcPr>
            <w:tcW w:w="3550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Однокомнатные квартиры</w:t>
            </w:r>
          </w:p>
        </w:tc>
        <w:tc>
          <w:tcPr>
            <w:tcW w:w="3891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Двухкомнатные квартиры</w:t>
            </w:r>
          </w:p>
        </w:tc>
      </w:tr>
      <w:tr w:rsidR="00F948A8" w:rsidRPr="00E00BD7" w:rsidTr="00E43835">
        <w:trPr>
          <w:trHeight w:val="423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215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7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118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7849BD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Изменение за год</w:t>
            </w:r>
          </w:p>
        </w:tc>
        <w:tc>
          <w:tcPr>
            <w:tcW w:w="1335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37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21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7849BD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Изменение за год</w:t>
            </w:r>
          </w:p>
        </w:tc>
      </w:tr>
      <w:tr w:rsidR="007849BD" w:rsidRPr="00E00BD7" w:rsidTr="00E66D97">
        <w:trPr>
          <w:trHeight w:val="267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Адмиралтейский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5 087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136 023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2.99%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7 187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131 792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14.89%</w:t>
            </w:r>
          </w:p>
        </w:tc>
      </w:tr>
      <w:tr w:rsidR="007849BD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Василеостровский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4 579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116 725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9.57%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7 684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118 043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-1.93%</w:t>
            </w:r>
          </w:p>
        </w:tc>
      </w:tr>
      <w:tr w:rsidR="007849BD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Выборгский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3 536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89 586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14.82%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6 110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89 587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19.93%</w:t>
            </w:r>
          </w:p>
        </w:tc>
      </w:tr>
      <w:tr w:rsidR="007849BD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Калининский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4 132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101 211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13.22%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7 185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98 644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15.62%</w:t>
            </w:r>
          </w:p>
        </w:tc>
      </w:tr>
      <w:tr w:rsidR="007849BD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Кировский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3 721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105 220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9.18%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5 957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102 018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13.26%</w:t>
            </w:r>
          </w:p>
        </w:tc>
      </w:tr>
      <w:tr w:rsidR="007849BD" w:rsidRPr="00E00BD7" w:rsidTr="00E66D97">
        <w:trPr>
          <w:trHeight w:val="338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Красногвардейский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4 274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111 124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17.19%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6 487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105 470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20.69%</w:t>
            </w:r>
          </w:p>
        </w:tc>
      </w:tr>
      <w:tr w:rsidR="007849BD" w:rsidRPr="00E00BD7" w:rsidTr="00E66D97">
        <w:trPr>
          <w:trHeight w:val="342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3 707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92 474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-1.77%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6 146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91 846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6.99%</w:t>
            </w:r>
          </w:p>
        </w:tc>
      </w:tr>
      <w:tr w:rsidR="007849BD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Московский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4 759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117 498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7.43%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7 265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115 385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1.74%</w:t>
            </w:r>
          </w:p>
        </w:tc>
      </w:tr>
      <w:tr w:rsidR="007849BD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Невский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3 016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84 533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6.72%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5 059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84 959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9.75%</w:t>
            </w:r>
          </w:p>
        </w:tc>
      </w:tr>
      <w:tr w:rsidR="007849BD" w:rsidRPr="00E00BD7" w:rsidTr="00E66D97">
        <w:trPr>
          <w:trHeight w:val="340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Петроградский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9 734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186 146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3.55%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17 640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197 032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14.22%</w:t>
            </w:r>
          </w:p>
        </w:tc>
      </w:tr>
      <w:tr w:rsidR="007849BD" w:rsidRPr="00E00BD7" w:rsidTr="00E66D97">
        <w:trPr>
          <w:trHeight w:val="34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Приморский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3 763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105 466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5.94%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6 580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110 006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11.62%</w:t>
            </w:r>
          </w:p>
        </w:tc>
      </w:tr>
      <w:tr w:rsidR="007849BD" w:rsidRPr="00E00BD7" w:rsidTr="00E66D97">
        <w:trPr>
          <w:trHeight w:val="301"/>
        </w:trPr>
        <w:tc>
          <w:tcPr>
            <w:tcW w:w="1994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Фрунзенский</w:t>
            </w:r>
            <w:proofErr w:type="spellEnd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5 126</w:t>
            </w:r>
          </w:p>
        </w:tc>
        <w:tc>
          <w:tcPr>
            <w:tcW w:w="121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111 229</w:t>
            </w:r>
          </w:p>
        </w:tc>
        <w:tc>
          <w:tcPr>
            <w:tcW w:w="1118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3.14%</w:t>
            </w:r>
          </w:p>
        </w:tc>
        <w:tc>
          <w:tcPr>
            <w:tcW w:w="1335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7 752</w:t>
            </w:r>
          </w:p>
        </w:tc>
        <w:tc>
          <w:tcPr>
            <w:tcW w:w="1337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110 331</w:t>
            </w:r>
          </w:p>
        </w:tc>
        <w:tc>
          <w:tcPr>
            <w:tcW w:w="121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11.45%</w:t>
            </w:r>
          </w:p>
        </w:tc>
      </w:tr>
      <w:tr w:rsidR="007849BD" w:rsidRPr="00E00BD7" w:rsidTr="00E66D97">
        <w:trPr>
          <w:trHeight w:val="380"/>
        </w:trPr>
        <w:tc>
          <w:tcPr>
            <w:tcW w:w="199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Центральный</w:t>
            </w:r>
          </w:p>
        </w:tc>
        <w:tc>
          <w:tcPr>
            <w:tcW w:w="12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8 187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173 095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3.87%</w:t>
            </w:r>
          </w:p>
        </w:tc>
        <w:tc>
          <w:tcPr>
            <w:tcW w:w="13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12 501</w:t>
            </w:r>
          </w:p>
        </w:tc>
        <w:tc>
          <w:tcPr>
            <w:tcW w:w="13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167 784</w:t>
            </w:r>
          </w:p>
        </w:tc>
        <w:tc>
          <w:tcPr>
            <w:tcW w:w="12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-10.04%</w:t>
            </w:r>
          </w:p>
        </w:tc>
      </w:tr>
    </w:tbl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tbl>
      <w:tblPr>
        <w:tblW w:w="945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2009"/>
        <w:gridCol w:w="2009"/>
        <w:gridCol w:w="1812"/>
      </w:tblGrid>
      <w:tr w:rsidR="00F948A8" w:rsidRPr="00E00BD7" w:rsidTr="00E43835">
        <w:trPr>
          <w:trHeight w:val="33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48A8" w:rsidRPr="00E00BD7" w:rsidRDefault="00F948A8" w:rsidP="00E43835">
            <w:pPr>
              <w:spacing w:after="0" w:line="330" w:lineRule="atLeast"/>
              <w:jc w:val="both"/>
              <w:textAlignment w:val="bottom"/>
              <w:rPr>
                <w:rFonts w:ascii="Franklin Gothic Book" w:eastAsia="Times New Roman" w:hAnsi="Franklin Gothic Book" w:cs="Arial"/>
                <w:lang w:eastAsia="ru-RU"/>
              </w:rPr>
            </w:pPr>
            <w:r w:rsidRPr="00E00BD7">
              <w:rPr>
                <w:rFonts w:ascii="Franklin Gothic Book" w:eastAsia="Times New Roman" w:hAnsi="Franklin Gothic Book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5830" w:type="dxa"/>
            <w:gridSpan w:val="3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F948A8" w:rsidRPr="00411163" w:rsidRDefault="00F948A8" w:rsidP="00E43835">
            <w:pPr>
              <w:spacing w:after="0" w:line="330" w:lineRule="atLeast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Трехкомнатные квартиры</w:t>
            </w:r>
          </w:p>
        </w:tc>
      </w:tr>
      <w:tr w:rsidR="00F948A8" w:rsidRPr="00E00BD7" w:rsidTr="00E43835">
        <w:trPr>
          <w:trHeight w:val="431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00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09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F948A8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41116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руб./кв. м</w:t>
            </w:r>
          </w:p>
        </w:tc>
        <w:tc>
          <w:tcPr>
            <w:tcW w:w="181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948A8" w:rsidRPr="00411163" w:rsidRDefault="007849BD" w:rsidP="00E43835">
            <w:pPr>
              <w:spacing w:after="0" w:line="240" w:lineRule="auto"/>
              <w:jc w:val="center"/>
              <w:textAlignment w:val="bottom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kern w:val="24"/>
                <w:sz w:val="18"/>
                <w:szCs w:val="18"/>
                <w:lang w:eastAsia="ru-RU"/>
              </w:rPr>
              <w:t>Изменение за год</w:t>
            </w:r>
          </w:p>
        </w:tc>
      </w:tr>
      <w:tr w:rsidR="007849BD" w:rsidRPr="00E00BD7" w:rsidTr="00847D71">
        <w:trPr>
          <w:trHeight w:val="272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Адмиралтейский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10 050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124 242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30.18%</w:t>
            </w:r>
          </w:p>
        </w:tc>
      </w:tr>
      <w:tr w:rsidR="007849BD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Василеостровский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11 330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116 520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2.47%</w:t>
            </w:r>
          </w:p>
        </w:tc>
      </w:tr>
      <w:tr w:rsidR="007849BD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Выборгский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7 343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84 151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21.64%</w:t>
            </w:r>
          </w:p>
        </w:tc>
      </w:tr>
      <w:tr w:rsidR="007849BD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Калининский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8 988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96 981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15.23%</w:t>
            </w:r>
          </w:p>
        </w:tc>
      </w:tr>
      <w:tr w:rsidR="007849BD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Кировский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7 950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103 613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19.62%</w:t>
            </w:r>
          </w:p>
        </w:tc>
      </w:tr>
      <w:tr w:rsidR="007849BD" w:rsidRPr="00E00BD7" w:rsidTr="00847D71">
        <w:trPr>
          <w:trHeight w:val="344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Красногвардейский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10 179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108 323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10.81%</w:t>
            </w:r>
          </w:p>
        </w:tc>
      </w:tr>
      <w:tr w:rsidR="007849BD" w:rsidRPr="00E00BD7" w:rsidTr="00847D71">
        <w:trPr>
          <w:trHeight w:val="348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9 323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92 376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16.39%</w:t>
            </w:r>
          </w:p>
        </w:tc>
      </w:tr>
      <w:tr w:rsidR="007849BD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Московский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10 226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110 282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-3.93%</w:t>
            </w:r>
          </w:p>
        </w:tc>
      </w:tr>
      <w:tr w:rsidR="007849BD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lastRenderedPageBreak/>
              <w:t>Невский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6 954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82 265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2.51%</w:t>
            </w:r>
          </w:p>
        </w:tc>
      </w:tr>
      <w:tr w:rsidR="007849BD" w:rsidRPr="00E00BD7" w:rsidTr="00847D71">
        <w:trPr>
          <w:trHeight w:val="34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Петроградский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25 694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194 725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16.34%</w:t>
            </w:r>
          </w:p>
        </w:tc>
      </w:tr>
      <w:tr w:rsidR="007849BD" w:rsidRPr="00E00BD7" w:rsidTr="00847D71">
        <w:trPr>
          <w:trHeight w:val="34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Приморский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10 329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113 366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17.33%</w:t>
            </w:r>
          </w:p>
        </w:tc>
      </w:tr>
      <w:tr w:rsidR="007849BD" w:rsidRPr="00E00BD7" w:rsidTr="00847D71">
        <w:trPr>
          <w:trHeight w:val="306"/>
        </w:trPr>
        <w:tc>
          <w:tcPr>
            <w:tcW w:w="3622" w:type="dxa"/>
            <w:shd w:val="clear" w:color="auto" w:fill="EBEBF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Фрунзенский</w:t>
            </w:r>
            <w:proofErr w:type="spellEnd"/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9 237</w:t>
            </w:r>
          </w:p>
        </w:tc>
        <w:tc>
          <w:tcPr>
            <w:tcW w:w="2009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104 636</w:t>
            </w:r>
          </w:p>
        </w:tc>
        <w:tc>
          <w:tcPr>
            <w:tcW w:w="1812" w:type="dxa"/>
            <w:shd w:val="clear" w:color="auto" w:fill="EB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13.92%</w:t>
            </w:r>
          </w:p>
        </w:tc>
      </w:tr>
      <w:tr w:rsidR="007849BD" w:rsidRPr="00E00BD7" w:rsidTr="00847D71">
        <w:trPr>
          <w:trHeight w:val="386"/>
        </w:trPr>
        <w:tc>
          <w:tcPr>
            <w:tcW w:w="362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849BD" w:rsidRPr="00A510DB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A510DB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Центральный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17 450</w:t>
            </w:r>
          </w:p>
        </w:tc>
        <w:tc>
          <w:tcPr>
            <w:tcW w:w="20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167 325</w:t>
            </w:r>
          </w:p>
        </w:tc>
        <w:tc>
          <w:tcPr>
            <w:tcW w:w="1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 w:themeColor="text1"/>
                <w:kern w:val="24"/>
                <w:sz w:val="18"/>
                <w:szCs w:val="18"/>
              </w:rPr>
              <w:t>-6.12%</w:t>
            </w:r>
          </w:p>
        </w:tc>
      </w:tr>
    </w:tbl>
    <w:p w:rsidR="00F948A8" w:rsidRDefault="00F948A8" w:rsidP="00756F5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7849BD" w:rsidRPr="007849BD" w:rsidRDefault="007849BD" w:rsidP="007849B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849BD">
        <w:rPr>
          <w:rFonts w:ascii="Franklin Gothic Book" w:hAnsi="Franklin Gothic Book"/>
          <w:sz w:val="22"/>
          <w:szCs w:val="22"/>
        </w:rPr>
        <w:t>Средняя цена предложения с разделением по классу жилья на конец 2016 года составляет: эконом – 79,7 тыс. руб. за кв. м, комфорт – 107,3 тыс. руб. за кв. м, бизнес – 165,9 тыс. руб. за кв. м, элит-класс – 280,3 тыс. руб. за кв. м жилья на рынке квартир в строящихся домах. Наибольший процент изменения цены предложения за год продемонстрировали квартиры в строящихся домах эконом-класса.</w:t>
      </w:r>
    </w:p>
    <w:p w:rsidR="00614562" w:rsidRPr="00614562" w:rsidRDefault="00614562" w:rsidP="0061456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7849BD" w:rsidP="00F948A8">
      <w:pPr>
        <w:pStyle w:val="Tabledate"/>
        <w:rPr>
          <w:rFonts w:ascii="Franklin Gothic Book" w:hAnsi="Franklin Gothic Book" w:cs="Times New Roman"/>
          <w:sz w:val="22"/>
          <w:szCs w:val="22"/>
        </w:rPr>
      </w:pPr>
      <w:r w:rsidRPr="007849BD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2422EF88" wp14:editId="5DCE8F73">
            <wp:extent cx="2866434" cy="1661599"/>
            <wp:effectExtent l="0" t="0" r="1016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48A8" w:rsidRPr="00747ED8" w:rsidRDefault="00F948A8" w:rsidP="00F948A8">
      <w:pPr>
        <w:pStyle w:val="Tabledate"/>
        <w:jc w:val="left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                                 </w:t>
      </w:r>
      <w:r w:rsidRPr="00747ED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74BBAB42" wp14:editId="5EA5F098">
            <wp:extent cx="1223962" cy="185738"/>
            <wp:effectExtent l="19050" t="0" r="0" b="0"/>
            <wp:docPr id="35" name="Рисунок 1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0C5183" w:rsidRDefault="00F948A8" w:rsidP="00F948A8">
      <w:pPr>
        <w:pStyle w:val="Tabledate"/>
        <w:numPr>
          <w:ilvl w:val="0"/>
          <w:numId w:val="1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Цена по классу жилья, руб./кв. м</w:t>
      </w:r>
    </w:p>
    <w:p w:rsidR="00F948A8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F948A8" w:rsidRPr="000C5183" w:rsidRDefault="00F948A8" w:rsidP="00F948A8">
      <w:pPr>
        <w:pStyle w:val="Tabledate"/>
        <w:numPr>
          <w:ilvl w:val="0"/>
          <w:numId w:val="2"/>
        </w:numPr>
        <w:jc w:val="left"/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Цены по классу жилья, руб./кв. м</w:t>
      </w:r>
    </w:p>
    <w:p w:rsidR="00F948A8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tbl>
      <w:tblPr>
        <w:tblW w:w="93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1"/>
      </w:tblGrid>
      <w:tr w:rsidR="007849BD" w:rsidRPr="00601FE9" w:rsidTr="00E43835">
        <w:trPr>
          <w:trHeight w:val="442"/>
        </w:trPr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49BD" w:rsidRPr="002E6C44" w:rsidRDefault="007849BD" w:rsidP="007849BD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  <w:b/>
                <w:bCs/>
              </w:rPr>
              <w:t>Класс</w:t>
            </w:r>
          </w:p>
          <w:p w:rsidR="007849BD" w:rsidRPr="002E6C44" w:rsidRDefault="007849BD" w:rsidP="007849BD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  <w:b/>
                <w:bCs/>
              </w:rPr>
              <w:t>жилья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Декабрь 2015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Декабрь 2016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Изменение за год</w:t>
            </w:r>
          </w:p>
        </w:tc>
      </w:tr>
      <w:tr w:rsidR="007849BD" w:rsidRPr="00601FE9" w:rsidTr="00B75F1A">
        <w:trPr>
          <w:trHeight w:val="340"/>
        </w:trPr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49BD" w:rsidRPr="002E6C44" w:rsidRDefault="007849BD" w:rsidP="007849BD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элит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291 054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280 319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-3.69%</w:t>
            </w:r>
          </w:p>
        </w:tc>
      </w:tr>
      <w:tr w:rsidR="007849BD" w:rsidRPr="00601FE9" w:rsidTr="00B75F1A">
        <w:trPr>
          <w:trHeight w:val="340"/>
        </w:trPr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49BD" w:rsidRPr="002E6C44" w:rsidRDefault="007849BD" w:rsidP="007849BD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бизнес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165 066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165 939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0.53%</w:t>
            </w:r>
          </w:p>
        </w:tc>
      </w:tr>
      <w:tr w:rsidR="007849BD" w:rsidRPr="00601FE9" w:rsidTr="00B75F1A">
        <w:trPr>
          <w:trHeight w:val="340"/>
        </w:trPr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49BD" w:rsidRPr="002E6C44" w:rsidRDefault="007849BD" w:rsidP="007849BD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комфорт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104 002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107 264</w:t>
            </w:r>
          </w:p>
        </w:tc>
        <w:tc>
          <w:tcPr>
            <w:tcW w:w="234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3.14%</w:t>
            </w:r>
          </w:p>
        </w:tc>
      </w:tr>
      <w:tr w:rsidR="007849BD" w:rsidRPr="00601FE9" w:rsidTr="00B75F1A">
        <w:trPr>
          <w:trHeight w:val="340"/>
        </w:trPr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49BD" w:rsidRPr="002E6C44" w:rsidRDefault="007849BD" w:rsidP="007849BD">
            <w:pPr>
              <w:pStyle w:val="Tabledate"/>
              <w:rPr>
                <w:rFonts w:ascii="Franklin Gothic Book" w:hAnsi="Franklin Gothic Book"/>
              </w:rPr>
            </w:pPr>
            <w:r w:rsidRPr="002E6C44">
              <w:rPr>
                <w:rFonts w:ascii="Franklin Gothic Book" w:hAnsi="Franklin Gothic Book"/>
              </w:rPr>
              <w:t>эконом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76 544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79 682</w:t>
            </w:r>
          </w:p>
        </w:tc>
        <w:tc>
          <w:tcPr>
            <w:tcW w:w="2341" w:type="dxa"/>
            <w:shd w:val="clear" w:color="auto" w:fill="EBEBF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849BD" w:rsidRPr="007849BD" w:rsidRDefault="007849BD" w:rsidP="007849BD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Franklin Gothic Book" w:hAnsi="Franklin Gothic Book" w:cs="Arial"/>
                <w:sz w:val="18"/>
                <w:szCs w:val="18"/>
              </w:rPr>
            </w:pPr>
            <w:r w:rsidRPr="007849BD">
              <w:rPr>
                <w:rFonts w:ascii="Franklin Gothic Book" w:hAnsi="Franklin Gothic Book" w:cs="Arial"/>
                <w:color w:val="000000"/>
                <w:kern w:val="24"/>
                <w:sz w:val="18"/>
                <w:szCs w:val="18"/>
              </w:rPr>
              <w:t>4.10%</w:t>
            </w:r>
          </w:p>
        </w:tc>
      </w:tr>
    </w:tbl>
    <w:p w:rsidR="00F948A8" w:rsidRDefault="00F948A8" w:rsidP="00756F5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7849BD" w:rsidRPr="007849BD" w:rsidRDefault="007849BD" w:rsidP="007849B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849BD">
        <w:rPr>
          <w:rFonts w:ascii="Franklin Gothic Book" w:hAnsi="Franklin Gothic Book"/>
          <w:sz w:val="22"/>
          <w:szCs w:val="22"/>
        </w:rPr>
        <w:t>Структура предложения по классам жилья на первичном рынке за прошедший год практически не изменилась. Комфорт-класс по-прежнему занимает большую часть предложения на рынке и составляет на декабрь 2016 года 52% от общего количества строительных объектов. Доля эконом-класса – на уровне 19,3%, строящиеся дома бизнес-класса – это 22,6%, элит-класса – 6,2% от всего рынка.</w:t>
      </w:r>
    </w:p>
    <w:p w:rsidR="00F948A8" w:rsidRPr="00A203F6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F948A8" w:rsidRDefault="007849BD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7849BD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61B91F9C" wp14:editId="643DC16B">
            <wp:extent cx="5831701" cy="2088000"/>
            <wp:effectExtent l="0" t="0" r="17145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48A8" w:rsidRPr="00F5664A" w:rsidRDefault="00F948A8" w:rsidP="00F948A8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lastRenderedPageBreak/>
        <w:t xml:space="preserve">       </w:t>
      </w:r>
      <w:r w:rsidRPr="00747ED8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02BA6102" wp14:editId="432849CA">
            <wp:extent cx="1223962" cy="185738"/>
            <wp:effectExtent l="19050" t="0" r="0" b="0"/>
            <wp:docPr id="33" name="Рисунок 12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A8" w:rsidRPr="000C5183" w:rsidRDefault="00F948A8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классу жилья, % от общего количества строительных объектов</w:t>
      </w:r>
    </w:p>
    <w:p w:rsidR="00F948A8" w:rsidRDefault="00F948A8" w:rsidP="00756F5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7849BD" w:rsidRPr="007849BD" w:rsidRDefault="007849BD" w:rsidP="007849B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849BD">
        <w:rPr>
          <w:rFonts w:ascii="Franklin Gothic Book" w:hAnsi="Franklin Gothic Book"/>
          <w:sz w:val="22"/>
          <w:szCs w:val="22"/>
        </w:rPr>
        <w:t>Объем предложения строительных объектов, в которых идут продажи квартир, на конец года составил 345 (с учетом очередей), что на 9,5% больше показателя в декабре 2015 года. Доля сданных госкомиссии домов во всем предложении на рынке новостроек на конец декабря 2016 года составляет 28,1%, частично сданных – 9,3%. И 62,6% от общего объема – это объекты, находящиеся на различных стадиях строительства.</w:t>
      </w:r>
    </w:p>
    <w:p w:rsidR="007E5846" w:rsidRPr="007E5846" w:rsidRDefault="007E5846" w:rsidP="007E5846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285542" w:rsidRPr="00F5664A" w:rsidRDefault="00285542" w:rsidP="00F5664A">
      <w:pPr>
        <w:pStyle w:val="Tabledate"/>
        <w:jc w:val="both"/>
        <w:rPr>
          <w:rFonts w:ascii="Franklin Gothic Book" w:hAnsi="Franklin Gothic Book"/>
          <w:i/>
          <w:sz w:val="24"/>
          <w:szCs w:val="24"/>
        </w:rPr>
      </w:pPr>
    </w:p>
    <w:p w:rsidR="003B7C2F" w:rsidRDefault="007849BD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7849BD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4046159C" wp14:editId="35C67546">
            <wp:extent cx="5804187" cy="2088000"/>
            <wp:effectExtent l="0" t="0" r="6350" b="76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7E3A" w:rsidRPr="00F5664A" w:rsidRDefault="00457E3A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</w:t>
      </w:r>
      <w:r w:rsidRPr="00457E3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5A01E0C5" wp14:editId="1518C434">
            <wp:extent cx="1223962" cy="185738"/>
            <wp:effectExtent l="19050" t="0" r="0" b="0"/>
            <wp:docPr id="11" name="Рисунок 5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60" w:rsidRPr="000C5183" w:rsidRDefault="00B25660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стадии строительства, % от общего количества строительных объектов</w:t>
      </w:r>
    </w:p>
    <w:p w:rsidR="00285542" w:rsidRPr="00F5664A" w:rsidRDefault="00285542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p w:rsidR="007849BD" w:rsidRPr="007849BD" w:rsidRDefault="007849BD" w:rsidP="007849B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849BD">
        <w:rPr>
          <w:rFonts w:ascii="Franklin Gothic Book" w:hAnsi="Franklin Gothic Book"/>
          <w:sz w:val="22"/>
          <w:szCs w:val="22"/>
        </w:rPr>
        <w:t xml:space="preserve">С учетом стадий строительства новостроек и наличия корпусов структура предложения на конец 2016 года выглядит следующим образом: 37,4% занимают сданные и частично сданные дома. В 2016 году обещают сдать еще 12,2% строящихся домов. На 2017-й приходится 22%, на 2018-й – 21,7%, на 2019-2020 годы – 6,7% от количества объектов, находящихся в продаже. </w:t>
      </w:r>
    </w:p>
    <w:p w:rsidR="00F948A8" w:rsidRPr="00AF3D63" w:rsidRDefault="00F948A8" w:rsidP="00F948A8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3B7C2F" w:rsidRDefault="007849BD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7849BD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6F821815" wp14:editId="564E0729">
            <wp:extent cx="5768716" cy="2088000"/>
            <wp:effectExtent l="0" t="0" r="3810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7E3A" w:rsidRPr="00F5664A" w:rsidRDefault="00457E3A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</w:rPr>
        <w:t xml:space="preserve">                      </w:t>
      </w:r>
      <w:r w:rsidRPr="00457E3A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0AFE45B0" wp14:editId="57C42217">
            <wp:extent cx="1223962" cy="185738"/>
            <wp:effectExtent l="19050" t="0" r="0" b="0"/>
            <wp:docPr id="29" name="Рисунок 10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42" w:rsidRPr="00747ED8" w:rsidRDefault="000C5183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proofErr w:type="spellStart"/>
      <w:r w:rsidR="00747ED8">
        <w:rPr>
          <w:rFonts w:ascii="Franklin Gothic Book" w:hAnsi="Franklin Gothic Book"/>
          <w:i/>
          <w:iCs/>
          <w:sz w:val="22"/>
          <w:szCs w:val="22"/>
        </w:rPr>
        <w:t>Cр</w:t>
      </w:r>
      <w:r w:rsidR="00B25660" w:rsidRPr="000C5183">
        <w:rPr>
          <w:rFonts w:ascii="Franklin Gothic Book" w:hAnsi="Franklin Gothic Book"/>
          <w:i/>
          <w:iCs/>
          <w:sz w:val="22"/>
          <w:szCs w:val="22"/>
        </w:rPr>
        <w:t>оки</w:t>
      </w:r>
      <w:proofErr w:type="spellEnd"/>
      <w:r w:rsidR="00B25660" w:rsidRPr="000C5183">
        <w:rPr>
          <w:rFonts w:ascii="Franklin Gothic Book" w:hAnsi="Franklin Gothic Book"/>
          <w:i/>
          <w:iCs/>
          <w:sz w:val="22"/>
          <w:szCs w:val="22"/>
        </w:rPr>
        <w:t xml:space="preserve"> окончания строительства, % от общего количества строительных объектов</w:t>
      </w:r>
    </w:p>
    <w:p w:rsidR="00601FE9" w:rsidRPr="00F5664A" w:rsidRDefault="00601FE9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  <w:sectPr w:rsidR="00601FE9" w:rsidRPr="00F5664A" w:rsidSect="00B256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29E" w:rsidRPr="00F5664A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849BD" w:rsidRPr="007849BD" w:rsidRDefault="007849BD" w:rsidP="007849B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849BD">
        <w:rPr>
          <w:rFonts w:ascii="Franklin Gothic Book" w:hAnsi="Franklin Gothic Book"/>
          <w:sz w:val="22"/>
          <w:szCs w:val="22"/>
        </w:rPr>
        <w:t>В структуре текущего предложения на рынке новостроек в декабре 2016 года, как и в конце декабря 2015 года, преобладают студии, одно- и двухкомнатные квартиры, это 77,4% рынка, трехкомнатные – в среднем 19,1%. Многокомнатные (четыре комнаты и более) составляют 3,5% от общего объема квартир в строящихся домах.</w:t>
      </w:r>
    </w:p>
    <w:p w:rsidR="00FF59E7" w:rsidRPr="00FF59E7" w:rsidRDefault="007849BD" w:rsidP="007849B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849BD">
        <w:rPr>
          <w:rFonts w:ascii="Franklin Gothic Book" w:hAnsi="Franklin Gothic Book"/>
          <w:sz w:val="22"/>
          <w:szCs w:val="22"/>
        </w:rPr>
        <w:t>В предложении с разбивкой по типу домов по-прежнему преобладают кирпично-монолитные дома, это 62,2% от всего рынка. Меньшая доля предложения – в домах смешанного типа – это, как правило, дома с корпусами, построенными по различным технологиям (кирпично-монолитной и панельной), – составляет 0,4%.</w:t>
      </w:r>
    </w:p>
    <w:p w:rsidR="002971B9" w:rsidRPr="00614562" w:rsidRDefault="00845E22" w:rsidP="00845E22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614562">
        <w:rPr>
          <w:rFonts w:ascii="Franklin Gothic Book" w:hAnsi="Franklin Gothic Book"/>
          <w:sz w:val="22"/>
          <w:szCs w:val="22"/>
        </w:rPr>
        <w:lastRenderedPageBreak/>
        <w:t xml:space="preserve"> </w:t>
      </w:r>
      <w:r w:rsidR="002971B9" w:rsidRPr="00614562">
        <w:rPr>
          <w:rFonts w:ascii="Franklin Gothic Book" w:hAnsi="Franklin Gothic Book"/>
          <w:sz w:val="22"/>
          <w:szCs w:val="22"/>
        </w:rPr>
        <w:t xml:space="preserve"> </w:t>
      </w:r>
    </w:p>
    <w:p w:rsidR="009872AF" w:rsidRPr="009872AF" w:rsidRDefault="009872AF" w:rsidP="009872AF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9872AF">
        <w:rPr>
          <w:rFonts w:ascii="Franklin Gothic Book" w:hAnsi="Franklin Gothic Book"/>
          <w:sz w:val="22"/>
          <w:szCs w:val="22"/>
        </w:rPr>
        <w:t xml:space="preserve"> </w:t>
      </w:r>
    </w:p>
    <w:p w:rsidR="0059123A" w:rsidRDefault="007849BD" w:rsidP="004B6AE5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7849BD">
        <w:rPr>
          <w:rFonts w:ascii="Franklin Gothic Book" w:hAnsi="Franklin Gothic Book"/>
          <w:i/>
          <w:iCs/>
          <w:sz w:val="24"/>
          <w:szCs w:val="24"/>
        </w:rPr>
        <w:drawing>
          <wp:inline distT="0" distB="0" distL="0" distR="0" wp14:anchorId="761E0D65" wp14:editId="3E323991">
            <wp:extent cx="2952328" cy="1656184"/>
            <wp:effectExtent l="0" t="0" r="635" b="12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47ED8" w:rsidRPr="00F5664A" w:rsidRDefault="00747ED8" w:rsidP="00747ED8">
      <w:pPr>
        <w:pStyle w:val="Tabledate"/>
        <w:jc w:val="left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                                                       </w:t>
      </w:r>
      <w:r w:rsidRPr="00747ED8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153068C3" wp14:editId="7D2FBDC1">
            <wp:extent cx="1223962" cy="185738"/>
            <wp:effectExtent l="19050" t="0" r="0" b="0"/>
            <wp:docPr id="37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9E" w:rsidRPr="000C5183" w:rsidRDefault="00E4029E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</w:t>
      </w:r>
      <w:r w:rsidR="00BA36AC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Pr="000C5183">
        <w:rPr>
          <w:rFonts w:ascii="Franklin Gothic Book" w:hAnsi="Franklin Gothic Book"/>
          <w:i/>
          <w:iCs/>
          <w:sz w:val="22"/>
          <w:szCs w:val="22"/>
        </w:rPr>
        <w:t xml:space="preserve">по типу дома, % от общего 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>о</w:t>
      </w:r>
      <w:r w:rsidRPr="000C5183">
        <w:rPr>
          <w:rFonts w:ascii="Franklin Gothic Book" w:hAnsi="Franklin Gothic Book"/>
          <w:i/>
          <w:iCs/>
          <w:sz w:val="22"/>
          <w:szCs w:val="22"/>
        </w:rPr>
        <w:t>бъема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 xml:space="preserve"> предложения</w:t>
      </w:r>
    </w:p>
    <w:p w:rsidR="00814C34" w:rsidRPr="00F5664A" w:rsidRDefault="00814C34" w:rsidP="00F5664A">
      <w:pPr>
        <w:pStyle w:val="Tabledate"/>
        <w:jc w:val="both"/>
        <w:rPr>
          <w:rFonts w:ascii="Franklin Gothic Book" w:hAnsi="Franklin Gothic Book"/>
          <w:sz w:val="24"/>
          <w:szCs w:val="24"/>
        </w:rPr>
      </w:pPr>
    </w:p>
    <w:p w:rsidR="00285542" w:rsidRDefault="007849BD" w:rsidP="00FC3084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 w:rsidRPr="007849BD">
        <w:rPr>
          <w:rFonts w:ascii="Franklin Gothic Book" w:hAnsi="Franklin Gothic Book"/>
          <w:i/>
          <w:iCs/>
          <w:sz w:val="24"/>
          <w:szCs w:val="24"/>
        </w:rPr>
        <w:drawing>
          <wp:inline distT="0" distB="0" distL="0" distR="0" wp14:anchorId="2BDC73AB" wp14:editId="278D03AD">
            <wp:extent cx="2952750" cy="1728000"/>
            <wp:effectExtent l="0" t="0" r="0" b="571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47ED8" w:rsidRPr="00F5664A" w:rsidRDefault="00747ED8" w:rsidP="00747ED8">
      <w:pPr>
        <w:pStyle w:val="Tabledate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t xml:space="preserve">          </w:t>
      </w:r>
      <w:r w:rsidRPr="00747ED8">
        <w:rPr>
          <w:rFonts w:ascii="Franklin Gothic Book" w:hAnsi="Franklin Gothic Book"/>
          <w:i/>
          <w:iCs/>
          <w:noProof/>
          <w:sz w:val="24"/>
          <w:szCs w:val="24"/>
        </w:rPr>
        <w:drawing>
          <wp:inline distT="0" distB="0" distL="0" distR="0" wp14:anchorId="174D82BC" wp14:editId="139D1C53">
            <wp:extent cx="1223962" cy="185738"/>
            <wp:effectExtent l="19050" t="0" r="0" b="0"/>
            <wp:docPr id="39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9E" w:rsidRPr="000C5183" w:rsidRDefault="00E4029E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</w:t>
      </w:r>
      <w:r w:rsidR="00BA36AC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Pr="000C5183">
        <w:rPr>
          <w:rFonts w:ascii="Franklin Gothic Book" w:hAnsi="Franklin Gothic Book"/>
          <w:i/>
          <w:iCs/>
          <w:sz w:val="22"/>
          <w:szCs w:val="22"/>
        </w:rPr>
        <w:t>типу квартиры, % от общего объема</w:t>
      </w:r>
      <w:r w:rsidR="009957E7" w:rsidRPr="000C5183">
        <w:rPr>
          <w:rFonts w:ascii="Franklin Gothic Book" w:hAnsi="Franklin Gothic Book"/>
          <w:i/>
          <w:iCs/>
          <w:sz w:val="22"/>
          <w:szCs w:val="22"/>
        </w:rPr>
        <w:t xml:space="preserve"> </w:t>
      </w:r>
      <w:r w:rsidR="00FC3084" w:rsidRPr="000C5183">
        <w:rPr>
          <w:rFonts w:ascii="Franklin Gothic Book" w:hAnsi="Franklin Gothic Book"/>
          <w:i/>
          <w:iCs/>
          <w:sz w:val="22"/>
          <w:szCs w:val="22"/>
        </w:rPr>
        <w:t>предложения</w:t>
      </w:r>
    </w:p>
    <w:p w:rsidR="00E4029E" w:rsidRPr="00FC3084" w:rsidRDefault="00E4029E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849BD" w:rsidRPr="007849BD" w:rsidRDefault="007849BD" w:rsidP="007849B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849BD">
        <w:rPr>
          <w:rFonts w:ascii="Franklin Gothic Book" w:hAnsi="Franklin Gothic Book"/>
          <w:sz w:val="22"/>
          <w:szCs w:val="22"/>
        </w:rPr>
        <w:t>В структуре предложения по районам на конец 2016 года лидирующую позицию занимает Приморский район Петербурга – 14,2% от всего объема рынка новостроек. Далее на рынке квартир в строящихся домах большие доли занимают Выборгский, Московский и Невский районы, предложение в них составляет 12,7%, 10,6% и 9,1% соответственно. Минимальное количество строительных объектов наблюдается во Фрунзенском районе – 2,2% от всего объема рынка новостроек, а также в Адмиралтейском, его доля в предложении составляет 2,9%.</w:t>
      </w:r>
    </w:p>
    <w:p w:rsidR="004B6AE5" w:rsidRPr="004B6AE5" w:rsidRDefault="004B6AE5" w:rsidP="00756F58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p w:rsidR="00E4029E" w:rsidRDefault="007849BD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7849BD">
        <w:rPr>
          <w:rFonts w:ascii="Franklin Gothic Book" w:hAnsi="Franklin Gothic Book" w:cs="Times New Roman"/>
          <w:sz w:val="22"/>
          <w:szCs w:val="22"/>
        </w:rPr>
        <w:drawing>
          <wp:inline distT="0" distB="0" distL="0" distR="0" wp14:anchorId="33BC3347" wp14:editId="0D8F620D">
            <wp:extent cx="5819392" cy="2290120"/>
            <wp:effectExtent l="0" t="0" r="10160" b="1524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B6AE5" w:rsidRPr="00F5664A" w:rsidRDefault="004B6AE5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B6AE5">
        <w:rPr>
          <w:rFonts w:ascii="Franklin Gothic Book" w:hAnsi="Franklin Gothic Book" w:cs="Times New Roman"/>
          <w:noProof/>
          <w:sz w:val="22"/>
          <w:szCs w:val="22"/>
        </w:rPr>
        <w:drawing>
          <wp:inline distT="0" distB="0" distL="0" distR="0" wp14:anchorId="6AB6135C" wp14:editId="66119E0A">
            <wp:extent cx="1223962" cy="185738"/>
            <wp:effectExtent l="19050" t="0" r="0" b="0"/>
            <wp:docPr id="41" name="Рисунок 18" descr="C:\Users\Chigkova\Desktop\копирайт_аналит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C:\Users\Chigkova\Desktop\копирайт_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2" cy="1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B4" w:rsidRPr="00017DF1" w:rsidRDefault="00FC3084" w:rsidP="00F948A8">
      <w:pPr>
        <w:pStyle w:val="Tabledate"/>
        <w:numPr>
          <w:ilvl w:val="0"/>
          <w:numId w:val="5"/>
        </w:numPr>
        <w:rPr>
          <w:rFonts w:ascii="Franklin Gothic Book" w:hAnsi="Franklin Gothic Book"/>
          <w:i/>
          <w:iCs/>
          <w:sz w:val="22"/>
          <w:szCs w:val="22"/>
        </w:rPr>
      </w:pPr>
      <w:r w:rsidRPr="000C5183">
        <w:rPr>
          <w:rFonts w:ascii="Franklin Gothic Book" w:hAnsi="Franklin Gothic Book"/>
          <w:i/>
          <w:iCs/>
          <w:sz w:val="22"/>
          <w:szCs w:val="22"/>
        </w:rPr>
        <w:t>Структура по районам, % от общего объема</w:t>
      </w:r>
    </w:p>
    <w:p w:rsidR="002971B9" w:rsidRDefault="002971B9" w:rsidP="00017DF1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</w:p>
    <w:p w:rsidR="007849BD" w:rsidRPr="007849BD" w:rsidRDefault="007849BD" w:rsidP="007849B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849BD">
        <w:rPr>
          <w:rFonts w:ascii="Franklin Gothic Book" w:hAnsi="Franklin Gothic Book"/>
          <w:sz w:val="22"/>
          <w:szCs w:val="22"/>
        </w:rPr>
        <w:t xml:space="preserve">Структура предложения на рынке строящегося жилья по диапазону площадей на конец 2016 года выглядит следующим образом. </w:t>
      </w:r>
    </w:p>
    <w:p w:rsidR="007849BD" w:rsidRPr="007849BD" w:rsidRDefault="007849BD" w:rsidP="007849B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849BD">
        <w:rPr>
          <w:rFonts w:ascii="Franklin Gothic Book" w:hAnsi="Franklin Gothic Book"/>
          <w:sz w:val="22"/>
          <w:szCs w:val="22"/>
        </w:rPr>
        <w:lastRenderedPageBreak/>
        <w:t xml:space="preserve">Максимальное количество предложений студий и однокомнатных квартир, выставленных на продажу, зафиксировано в диапазоне от 35 до 40 кв. м и от 40 до 45 кв. м общей площади, что занимает 27,3% и 20% от всего объема по указанному типу квартир. </w:t>
      </w:r>
    </w:p>
    <w:p w:rsidR="007849BD" w:rsidRPr="007849BD" w:rsidRDefault="007849BD" w:rsidP="007849B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r w:rsidRPr="007849BD">
        <w:rPr>
          <w:rFonts w:ascii="Franklin Gothic Book" w:hAnsi="Franklin Gothic Book"/>
          <w:sz w:val="22"/>
          <w:szCs w:val="22"/>
        </w:rPr>
        <w:t xml:space="preserve">В сегменте двухкомнатных максимальное предложение объектов приходится на диапазоны от 55 до 65 кв. м и от 65 до 75 кв. м, что занимает 41,9% и 20,8% от всего объема. </w:t>
      </w:r>
    </w:p>
    <w:p w:rsidR="007849BD" w:rsidRPr="007849BD" w:rsidRDefault="007849BD" w:rsidP="007849BD">
      <w:pPr>
        <w:pStyle w:val="Tabledate"/>
        <w:ind w:firstLine="425"/>
        <w:jc w:val="both"/>
        <w:rPr>
          <w:rFonts w:ascii="Franklin Gothic Book" w:hAnsi="Franklin Gothic Book"/>
          <w:sz w:val="22"/>
          <w:szCs w:val="22"/>
        </w:rPr>
      </w:pPr>
      <w:proofErr w:type="gramStart"/>
      <w:r w:rsidRPr="007849BD">
        <w:rPr>
          <w:rFonts w:ascii="Franklin Gothic Book" w:hAnsi="Franklin Gothic Book"/>
          <w:sz w:val="22"/>
          <w:szCs w:val="22"/>
        </w:rPr>
        <w:t>По трехкомнатным максимальное число</w:t>
      </w:r>
      <w:proofErr w:type="gramEnd"/>
      <w:r w:rsidRPr="007849BD">
        <w:rPr>
          <w:rFonts w:ascii="Franklin Gothic Book" w:hAnsi="Franklin Gothic Book"/>
          <w:sz w:val="22"/>
          <w:szCs w:val="22"/>
        </w:rPr>
        <w:t xml:space="preserve"> предложений объектов – в диапазоне общей площади от 70 до 85 кв. м и от 85 до 100 кв. м, что составляет 34,4% и 37,6% от всего объема по данному типу квартир. </w:t>
      </w:r>
    </w:p>
    <w:p w:rsidR="000C5183" w:rsidRPr="000C5183" w:rsidRDefault="000C5183" w:rsidP="000C1FCE">
      <w:pPr>
        <w:pStyle w:val="Tabledate"/>
        <w:jc w:val="both"/>
        <w:rPr>
          <w:rFonts w:ascii="Franklin Gothic Book" w:hAnsi="Franklin Gothic Book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3084" w:rsidTr="00EC376A">
        <w:tc>
          <w:tcPr>
            <w:tcW w:w="4771" w:type="dxa"/>
          </w:tcPr>
          <w:p w:rsid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4CE8DBDF" wp14:editId="1C47C59E">
                  <wp:extent cx="1871663" cy="215444"/>
                  <wp:effectExtent l="0" t="0" r="0" b="0"/>
                  <wp:docPr id="42" name="Объект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1663" cy="215444"/>
                            <a:chOff x="260350" y="3274808"/>
                            <a:chExt cx="1871663" cy="215444"/>
                          </a:xfrm>
                        </a:grpSpPr>
                        <a:sp>
                          <a:nvSpPr>
                            <a:cNvPr id="15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0350" y="3274808"/>
                              <a:ext cx="1871663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Однокомнатные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7849BD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7849BD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7C4D6C1E" wp14:editId="5FBD1B54">
                  <wp:extent cx="2952000" cy="1728000"/>
                  <wp:effectExtent l="0" t="0" r="1270" b="5715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  <w:r w:rsidR="00EC376A">
              <w:rPr>
                <w:rFonts w:ascii="Franklin Gothic Book" w:hAnsi="Franklin Gothic Book"/>
                <w:sz w:val="28"/>
                <w:szCs w:val="28"/>
              </w:rPr>
              <w:t xml:space="preserve">        </w:t>
            </w:r>
            <w:r w:rsidR="00EC376A"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63212855" wp14:editId="0A152192">
                  <wp:extent cx="1223962" cy="185738"/>
                  <wp:effectExtent l="19050" t="0" r="0" b="0"/>
                  <wp:docPr id="44" name="Рисунок 23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FC3084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67B58599" wp14:editId="39D33B30">
                  <wp:extent cx="1873250" cy="215444"/>
                  <wp:effectExtent l="0" t="0" r="0" b="0"/>
                  <wp:docPr id="45" name="Объект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3250" cy="215444"/>
                            <a:chOff x="3645024" y="3274808"/>
                            <a:chExt cx="1873250" cy="215444"/>
                          </a:xfrm>
                        </a:grpSpPr>
                        <a:sp>
                          <a:nvSpPr>
                            <a:cNvPr id="16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45024" y="3274808"/>
                              <a:ext cx="1873250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Двухкомнатные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7849BD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7849BD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2B6D4B3D" wp14:editId="6FB14B6D">
                  <wp:extent cx="2952000" cy="1728000"/>
                  <wp:effectExtent l="0" t="0" r="1270" b="5715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EC376A" w:rsidRDefault="00EC376A" w:rsidP="00EC376A">
            <w:pPr>
              <w:pStyle w:val="Tabledate"/>
              <w:jc w:val="left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          </w:t>
            </w: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0DB673DF" wp14:editId="2B87EDF5">
                  <wp:extent cx="1223962" cy="185738"/>
                  <wp:effectExtent l="19050" t="0" r="0" b="0"/>
                  <wp:docPr id="49" name="Рисунок 23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76A" w:rsidTr="00EC376A">
        <w:tc>
          <w:tcPr>
            <w:tcW w:w="4771" w:type="dxa"/>
          </w:tcPr>
          <w:p w:rsid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18C08F79" wp14:editId="2E4CC2AA">
                  <wp:extent cx="1871663" cy="215444"/>
                  <wp:effectExtent l="0" t="0" r="0" b="0"/>
                  <wp:docPr id="50" name="Объект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71663" cy="215444"/>
                            <a:chOff x="260648" y="5507974"/>
                            <a:chExt cx="1871663" cy="215444"/>
                          </a:xfrm>
                        </a:grpSpPr>
                        <a:sp>
                          <a:nvSpPr>
                            <a:cNvPr id="17" name="Прямоугольник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0648" y="5507974"/>
                              <a:ext cx="1871663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Трехкомнатные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7849BD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7849BD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7066416D" wp14:editId="0961BAB5">
                  <wp:extent cx="2952000" cy="1728000"/>
                  <wp:effectExtent l="0" t="0" r="1270" b="5715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EC376A" w:rsidRP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         </w:t>
            </w: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23CCBE28" wp14:editId="00A7D2E9">
                  <wp:extent cx="1223962" cy="185738"/>
                  <wp:effectExtent l="19050" t="0" r="0" b="0"/>
                  <wp:docPr id="52" name="Рисунок 29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4152E7F8" wp14:editId="2499FF32">
                  <wp:extent cx="2016000" cy="215444"/>
                  <wp:effectExtent l="0" t="0" r="0" b="0"/>
                  <wp:docPr id="53" name="Объект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16000" cy="215444"/>
                            <a:chOff x="3644900" y="5507974"/>
                            <a:chExt cx="2016000" cy="215444"/>
                          </a:xfrm>
                        </a:grpSpPr>
                        <a:sp>
                          <a:nvSpPr>
                            <a:cNvPr id="18" name="Прямоугольник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44900" y="5507974"/>
                              <a:ext cx="2016000" cy="2154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800" b="1" dirty="0">
                                    <a:latin typeface="PT Sans"/>
                                    <a:cs typeface="Times New Roman" pitchFamily="18" charset="0"/>
                                  </a:rPr>
                                  <a:t>Многокомнатные квартиры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EC376A" w:rsidRDefault="007849BD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7849BD">
              <w:rPr>
                <w:rFonts w:ascii="Franklin Gothic Book" w:hAnsi="Franklin Gothic Book"/>
                <w:sz w:val="28"/>
                <w:szCs w:val="28"/>
              </w:rPr>
              <w:drawing>
                <wp:inline distT="0" distB="0" distL="0" distR="0" wp14:anchorId="5D4F2D2C" wp14:editId="1EE16CC4">
                  <wp:extent cx="2952000" cy="1728000"/>
                  <wp:effectExtent l="0" t="0" r="1270" b="5715"/>
                  <wp:docPr id="40" name="Диаграм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EC376A" w:rsidRPr="00EC376A" w:rsidRDefault="00EC376A" w:rsidP="00F5664A">
            <w:pPr>
              <w:pStyle w:val="Tabledate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         </w:t>
            </w:r>
            <w:r w:rsidRPr="00EC376A">
              <w:rPr>
                <w:rFonts w:ascii="Franklin Gothic Book" w:hAnsi="Franklin Gothic Book"/>
                <w:noProof/>
                <w:sz w:val="28"/>
                <w:szCs w:val="28"/>
              </w:rPr>
              <w:drawing>
                <wp:inline distT="0" distB="0" distL="0" distR="0" wp14:anchorId="269BE38B" wp14:editId="457506EA">
                  <wp:extent cx="1223962" cy="185738"/>
                  <wp:effectExtent l="19050" t="0" r="0" b="0"/>
                  <wp:docPr id="55" name="Рисунок 32" descr="C:\Users\Chigkova\Desktop\копирайт_аналит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7" descr="C:\Users\Chigkova\Desktop\копирайт_анали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2" cy="1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084" w:rsidTr="00E00BD7">
        <w:tc>
          <w:tcPr>
            <w:tcW w:w="9571" w:type="dxa"/>
            <w:gridSpan w:val="2"/>
          </w:tcPr>
          <w:p w:rsidR="00FC3084" w:rsidRPr="000C5183" w:rsidRDefault="00FC3084" w:rsidP="00F948A8">
            <w:pPr>
              <w:pStyle w:val="Tabledate"/>
              <w:numPr>
                <w:ilvl w:val="0"/>
                <w:numId w:val="5"/>
              </w:numPr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0C5183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Структура по диапазону площади, % от общего объема </w:t>
            </w:r>
          </w:p>
        </w:tc>
      </w:tr>
    </w:tbl>
    <w:p w:rsidR="00814C34" w:rsidRPr="00F5664A" w:rsidRDefault="00814C34" w:rsidP="00F5664A">
      <w:pPr>
        <w:pStyle w:val="Tabledate"/>
        <w:jc w:val="both"/>
        <w:rPr>
          <w:rFonts w:ascii="Franklin Gothic Book" w:hAnsi="Franklin Gothic Book"/>
          <w:sz w:val="28"/>
          <w:szCs w:val="28"/>
        </w:rPr>
      </w:pPr>
    </w:p>
    <w:bookmarkEnd w:id="0"/>
    <w:p w:rsidR="0079135C" w:rsidRPr="00F5664A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F5664A">
        <w:rPr>
          <w:rFonts w:ascii="Franklin Gothic Book" w:hAnsi="Franklin Gothic Book" w:cs="Times New Roman"/>
          <w:sz w:val="22"/>
          <w:szCs w:val="22"/>
        </w:rPr>
        <w:t>_____________________________________________________________________________</w:t>
      </w:r>
    </w:p>
    <w:p w:rsidR="0079135C" w:rsidRPr="00F5664A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11163">
        <w:rPr>
          <w:rFonts w:ascii="Franklin Gothic Book" w:hAnsi="Franklin Gothic Book" w:cs="Times New Roman"/>
          <w:sz w:val="22"/>
          <w:szCs w:val="22"/>
        </w:rPr>
        <w:t xml:space="preserve">Отчет выполнен в соответствии с методологией Главного аналитика РГР Г.М. </w:t>
      </w:r>
      <w:proofErr w:type="spellStart"/>
      <w:r w:rsidRPr="00411163">
        <w:rPr>
          <w:rFonts w:ascii="Franklin Gothic Book" w:hAnsi="Franklin Gothic Book" w:cs="Times New Roman"/>
          <w:sz w:val="22"/>
          <w:szCs w:val="22"/>
        </w:rPr>
        <w:t>Стерника</w:t>
      </w:r>
      <w:proofErr w:type="spellEnd"/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</w:p>
    <w:p w:rsidR="0079135C" w:rsidRPr="00411163" w:rsidRDefault="0079135C" w:rsidP="00F5664A">
      <w:pPr>
        <w:pStyle w:val="Tabledate"/>
        <w:jc w:val="both"/>
        <w:rPr>
          <w:rFonts w:ascii="Franklin Gothic Book" w:hAnsi="Franklin Gothic Book" w:cs="Times New Roman"/>
          <w:sz w:val="22"/>
          <w:szCs w:val="22"/>
        </w:rPr>
      </w:pPr>
      <w:r w:rsidRPr="00411163">
        <w:rPr>
          <w:rFonts w:ascii="Franklin Gothic Book" w:hAnsi="Franklin Gothic Book" w:cs="Times New Roman"/>
          <w:sz w:val="22"/>
          <w:szCs w:val="22"/>
        </w:rPr>
        <w:t>Подготовлено:</w:t>
      </w:r>
      <w:r w:rsidR="00BA36AC" w:rsidRPr="00411163">
        <w:rPr>
          <w:rFonts w:ascii="Franklin Gothic Book" w:hAnsi="Franklin Gothic Book" w:cs="Times New Roman"/>
          <w:sz w:val="22"/>
          <w:szCs w:val="22"/>
        </w:rPr>
        <w:t xml:space="preserve"> </w:t>
      </w:r>
    </w:p>
    <w:p w:rsidR="00907FCD" w:rsidRPr="00411163" w:rsidRDefault="00907FCD" w:rsidP="00F5664A">
      <w:pPr>
        <w:spacing w:after="0"/>
        <w:jc w:val="both"/>
        <w:rPr>
          <w:rFonts w:ascii="Franklin Gothic Book" w:hAnsi="Franklin Gothic Book"/>
        </w:rPr>
      </w:pPr>
      <w:proofErr w:type="spellStart"/>
      <w:r w:rsidRPr="00411163">
        <w:rPr>
          <w:rFonts w:ascii="Franklin Gothic Book" w:hAnsi="Franklin Gothic Book"/>
        </w:rPr>
        <w:t>Бент</w:t>
      </w:r>
      <w:proofErr w:type="spellEnd"/>
      <w:r w:rsidRPr="00411163">
        <w:rPr>
          <w:rFonts w:ascii="Franklin Gothic Book" w:hAnsi="Franklin Gothic Book"/>
        </w:rPr>
        <w:t xml:space="preserve"> М.А., САРН, ООО «ГК «Бюллетень Недвижимости»</w:t>
      </w:r>
    </w:p>
    <w:p w:rsidR="0079135C" w:rsidRPr="00411163" w:rsidRDefault="0079135C" w:rsidP="00F5664A">
      <w:pPr>
        <w:spacing w:after="0"/>
        <w:jc w:val="both"/>
        <w:rPr>
          <w:rFonts w:ascii="Franklin Gothic Book" w:hAnsi="Franklin Gothic Book"/>
          <w:lang w:val="en-US"/>
        </w:rPr>
      </w:pPr>
      <w:r w:rsidRPr="00411163">
        <w:rPr>
          <w:rFonts w:ascii="Franklin Gothic Book" w:hAnsi="Franklin Gothic Book"/>
        </w:rPr>
        <w:t>тел</w:t>
      </w:r>
      <w:r w:rsidR="00BF6D76" w:rsidRPr="00411163">
        <w:rPr>
          <w:rFonts w:ascii="Franklin Gothic Book" w:hAnsi="Franklin Gothic Book"/>
          <w:lang w:val="en-US"/>
        </w:rPr>
        <w:t>. (812) 325-06-</w:t>
      </w:r>
      <w:r w:rsidRPr="00411163">
        <w:rPr>
          <w:rFonts w:ascii="Franklin Gothic Book" w:hAnsi="Franklin Gothic Book"/>
          <w:lang w:val="en-US"/>
        </w:rPr>
        <w:t>8</w:t>
      </w:r>
      <w:r w:rsidR="00BF6D76" w:rsidRPr="00411163">
        <w:rPr>
          <w:rFonts w:ascii="Franklin Gothic Book" w:hAnsi="Franklin Gothic Book"/>
          <w:lang w:val="en-US"/>
        </w:rPr>
        <w:t>1</w:t>
      </w:r>
      <w:r w:rsidRPr="00411163">
        <w:rPr>
          <w:rFonts w:ascii="Franklin Gothic Book" w:hAnsi="Franklin Gothic Book"/>
          <w:lang w:val="en-US"/>
        </w:rPr>
        <w:t xml:space="preserve">, e-mail: </w:t>
      </w:r>
      <w:hyperlink r:id="rId22" w:history="1">
        <w:r w:rsidRPr="00411163">
          <w:rPr>
            <w:rStyle w:val="a6"/>
            <w:rFonts w:ascii="Franklin Gothic Book" w:hAnsi="Franklin Gothic Book"/>
            <w:lang w:val="en-US"/>
          </w:rPr>
          <w:t>analitika@bn.ru</w:t>
        </w:r>
      </w:hyperlink>
      <w:r w:rsidRPr="00411163">
        <w:rPr>
          <w:rFonts w:ascii="Franklin Gothic Book" w:hAnsi="Franklin Gothic Book"/>
          <w:lang w:val="en-US"/>
        </w:rPr>
        <w:t xml:space="preserve">, </w:t>
      </w:r>
    </w:p>
    <w:p w:rsidR="00954379" w:rsidRPr="00411163" w:rsidRDefault="0079135C" w:rsidP="00F5664A">
      <w:pPr>
        <w:spacing w:after="0"/>
        <w:jc w:val="both"/>
        <w:rPr>
          <w:rFonts w:ascii="Franklin Gothic Book" w:hAnsi="Franklin Gothic Book"/>
        </w:rPr>
      </w:pPr>
      <w:proofErr w:type="gramStart"/>
      <w:r w:rsidRPr="00411163">
        <w:rPr>
          <w:rFonts w:ascii="Franklin Gothic Book" w:hAnsi="Franklin Gothic Book"/>
          <w:lang w:val="en-US"/>
        </w:rPr>
        <w:t>web-</w:t>
      </w:r>
      <w:r w:rsidRPr="00411163">
        <w:rPr>
          <w:rFonts w:ascii="Franklin Gothic Book" w:hAnsi="Franklin Gothic Book"/>
        </w:rPr>
        <w:t>сайт</w:t>
      </w:r>
      <w:proofErr w:type="gramEnd"/>
      <w:r w:rsidRPr="00411163">
        <w:rPr>
          <w:rFonts w:ascii="Franklin Gothic Book" w:hAnsi="Franklin Gothic Book"/>
          <w:lang w:val="en-US"/>
        </w:rPr>
        <w:t>: www.bn.ru</w:t>
      </w:r>
    </w:p>
    <w:sectPr w:rsidR="00954379" w:rsidRPr="00411163" w:rsidSect="00B256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Medium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5D4B"/>
    <w:multiLevelType w:val="hybridMultilevel"/>
    <w:tmpl w:val="7B202248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512B"/>
    <w:multiLevelType w:val="multilevel"/>
    <w:tmpl w:val="402E84CC"/>
    <w:lvl w:ilvl="0">
      <w:start w:val="1"/>
      <w:numFmt w:val="decimal"/>
      <w:pStyle w:val="2"/>
      <w:lvlText w:val="Таблица %1. "/>
      <w:lvlJc w:val="left"/>
      <w:pPr>
        <w:ind w:left="360" w:hanging="360"/>
      </w:pPr>
      <w:rPr>
        <w:rFonts w:ascii="Calibri" w:hAnsi="Calibri" w:cs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69385A"/>
    <w:multiLevelType w:val="hybridMultilevel"/>
    <w:tmpl w:val="89749F46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07ED"/>
    <w:multiLevelType w:val="hybridMultilevel"/>
    <w:tmpl w:val="1096D038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958ED"/>
    <w:multiLevelType w:val="hybridMultilevel"/>
    <w:tmpl w:val="7B202248"/>
    <w:lvl w:ilvl="0" w:tplc="FFFFFFFF">
      <w:start w:val="1"/>
      <w:numFmt w:val="decimal"/>
      <w:lvlText w:val="Рисунок %1.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604"/>
    <w:rsid w:val="000025E6"/>
    <w:rsid w:val="00007E73"/>
    <w:rsid w:val="00017A2C"/>
    <w:rsid w:val="00017DF1"/>
    <w:rsid w:val="00027ABB"/>
    <w:rsid w:val="00040C47"/>
    <w:rsid w:val="00043A6A"/>
    <w:rsid w:val="00047A21"/>
    <w:rsid w:val="000505CF"/>
    <w:rsid w:val="00054FAF"/>
    <w:rsid w:val="000735E6"/>
    <w:rsid w:val="000822C7"/>
    <w:rsid w:val="000957AA"/>
    <w:rsid w:val="000C1FCE"/>
    <w:rsid w:val="000C5183"/>
    <w:rsid w:val="000C7DAA"/>
    <w:rsid w:val="000E217F"/>
    <w:rsid w:val="001407CE"/>
    <w:rsid w:val="001D2246"/>
    <w:rsid w:val="001F0FDE"/>
    <w:rsid w:val="001F3AC8"/>
    <w:rsid w:val="002067E2"/>
    <w:rsid w:val="00214288"/>
    <w:rsid w:val="00224366"/>
    <w:rsid w:val="0022463A"/>
    <w:rsid w:val="0023182B"/>
    <w:rsid w:val="00243E1E"/>
    <w:rsid w:val="002614AA"/>
    <w:rsid w:val="00261F85"/>
    <w:rsid w:val="00285542"/>
    <w:rsid w:val="00290895"/>
    <w:rsid w:val="002971B9"/>
    <w:rsid w:val="002B1076"/>
    <w:rsid w:val="002D2B9D"/>
    <w:rsid w:val="002E5087"/>
    <w:rsid w:val="002E6C44"/>
    <w:rsid w:val="002F2DCE"/>
    <w:rsid w:val="002F7924"/>
    <w:rsid w:val="00311F89"/>
    <w:rsid w:val="00316E3D"/>
    <w:rsid w:val="003318EE"/>
    <w:rsid w:val="00342EE6"/>
    <w:rsid w:val="00356697"/>
    <w:rsid w:val="00361E27"/>
    <w:rsid w:val="0036242C"/>
    <w:rsid w:val="00364BE2"/>
    <w:rsid w:val="003A7347"/>
    <w:rsid w:val="003B7C2F"/>
    <w:rsid w:val="003C0FA6"/>
    <w:rsid w:val="003D47CA"/>
    <w:rsid w:val="003E795B"/>
    <w:rsid w:val="00405A49"/>
    <w:rsid w:val="00411163"/>
    <w:rsid w:val="0041709C"/>
    <w:rsid w:val="004170CF"/>
    <w:rsid w:val="0042585D"/>
    <w:rsid w:val="00436D5A"/>
    <w:rsid w:val="004447A9"/>
    <w:rsid w:val="00445808"/>
    <w:rsid w:val="004506FF"/>
    <w:rsid w:val="00452510"/>
    <w:rsid w:val="00457E3A"/>
    <w:rsid w:val="004879A9"/>
    <w:rsid w:val="0049212B"/>
    <w:rsid w:val="004A0DD7"/>
    <w:rsid w:val="004A3F66"/>
    <w:rsid w:val="004B09CA"/>
    <w:rsid w:val="004B6AE5"/>
    <w:rsid w:val="004E1877"/>
    <w:rsid w:val="004F06CE"/>
    <w:rsid w:val="004F1F4C"/>
    <w:rsid w:val="004F597C"/>
    <w:rsid w:val="00502D24"/>
    <w:rsid w:val="0050741F"/>
    <w:rsid w:val="00521032"/>
    <w:rsid w:val="00524C8E"/>
    <w:rsid w:val="00533C54"/>
    <w:rsid w:val="00533F15"/>
    <w:rsid w:val="00557CEC"/>
    <w:rsid w:val="005719A7"/>
    <w:rsid w:val="00573683"/>
    <w:rsid w:val="0057636A"/>
    <w:rsid w:val="005763F1"/>
    <w:rsid w:val="00586AD6"/>
    <w:rsid w:val="00587AD0"/>
    <w:rsid w:val="005901FB"/>
    <w:rsid w:val="0059123A"/>
    <w:rsid w:val="005A4F6A"/>
    <w:rsid w:val="005C2E5E"/>
    <w:rsid w:val="005D0A93"/>
    <w:rsid w:val="005D601D"/>
    <w:rsid w:val="005E3638"/>
    <w:rsid w:val="005E44AB"/>
    <w:rsid w:val="00601FE9"/>
    <w:rsid w:val="00614562"/>
    <w:rsid w:val="006158B5"/>
    <w:rsid w:val="00617115"/>
    <w:rsid w:val="00634073"/>
    <w:rsid w:val="0063487E"/>
    <w:rsid w:val="00660F66"/>
    <w:rsid w:val="00682257"/>
    <w:rsid w:val="006946FE"/>
    <w:rsid w:val="006C651F"/>
    <w:rsid w:val="006E5FBD"/>
    <w:rsid w:val="006F0FD8"/>
    <w:rsid w:val="0071101E"/>
    <w:rsid w:val="0072578D"/>
    <w:rsid w:val="00734899"/>
    <w:rsid w:val="00744C83"/>
    <w:rsid w:val="00747ED8"/>
    <w:rsid w:val="00750BB4"/>
    <w:rsid w:val="00756F58"/>
    <w:rsid w:val="0077333E"/>
    <w:rsid w:val="007849BD"/>
    <w:rsid w:val="0079135C"/>
    <w:rsid w:val="007A40E8"/>
    <w:rsid w:val="007B5537"/>
    <w:rsid w:val="007C209E"/>
    <w:rsid w:val="007D0D26"/>
    <w:rsid w:val="007E3568"/>
    <w:rsid w:val="007E5846"/>
    <w:rsid w:val="007F2608"/>
    <w:rsid w:val="0080204B"/>
    <w:rsid w:val="00806B2A"/>
    <w:rsid w:val="00814C34"/>
    <w:rsid w:val="00821608"/>
    <w:rsid w:val="008219DF"/>
    <w:rsid w:val="00831CBB"/>
    <w:rsid w:val="0083244D"/>
    <w:rsid w:val="00837556"/>
    <w:rsid w:val="00845670"/>
    <w:rsid w:val="00845E22"/>
    <w:rsid w:val="008473D7"/>
    <w:rsid w:val="008531FF"/>
    <w:rsid w:val="00855742"/>
    <w:rsid w:val="00860E43"/>
    <w:rsid w:val="00867C5F"/>
    <w:rsid w:val="008762A3"/>
    <w:rsid w:val="0088517B"/>
    <w:rsid w:val="0089034B"/>
    <w:rsid w:val="00892A0D"/>
    <w:rsid w:val="00894196"/>
    <w:rsid w:val="008B7C2F"/>
    <w:rsid w:val="008C114B"/>
    <w:rsid w:val="008D77B4"/>
    <w:rsid w:val="008E3607"/>
    <w:rsid w:val="008E68DE"/>
    <w:rsid w:val="008F26CC"/>
    <w:rsid w:val="00904B2D"/>
    <w:rsid w:val="00907FCD"/>
    <w:rsid w:val="00913912"/>
    <w:rsid w:val="0091587E"/>
    <w:rsid w:val="00930E2D"/>
    <w:rsid w:val="00934FB4"/>
    <w:rsid w:val="009411FA"/>
    <w:rsid w:val="00944B50"/>
    <w:rsid w:val="00954379"/>
    <w:rsid w:val="0096639E"/>
    <w:rsid w:val="009872AF"/>
    <w:rsid w:val="00990731"/>
    <w:rsid w:val="009957E7"/>
    <w:rsid w:val="009A464E"/>
    <w:rsid w:val="009A7AF6"/>
    <w:rsid w:val="009C175C"/>
    <w:rsid w:val="009F66C2"/>
    <w:rsid w:val="00A016C2"/>
    <w:rsid w:val="00A03A22"/>
    <w:rsid w:val="00A203F6"/>
    <w:rsid w:val="00A221F5"/>
    <w:rsid w:val="00A225DD"/>
    <w:rsid w:val="00A2697E"/>
    <w:rsid w:val="00A45548"/>
    <w:rsid w:val="00A47475"/>
    <w:rsid w:val="00A510DB"/>
    <w:rsid w:val="00A62D8A"/>
    <w:rsid w:val="00A645F7"/>
    <w:rsid w:val="00A65534"/>
    <w:rsid w:val="00A7335F"/>
    <w:rsid w:val="00A76648"/>
    <w:rsid w:val="00AA1CD1"/>
    <w:rsid w:val="00AB38F5"/>
    <w:rsid w:val="00AC0B4E"/>
    <w:rsid w:val="00AE7798"/>
    <w:rsid w:val="00AF1796"/>
    <w:rsid w:val="00AF3D63"/>
    <w:rsid w:val="00B05D8D"/>
    <w:rsid w:val="00B22A1D"/>
    <w:rsid w:val="00B25660"/>
    <w:rsid w:val="00B46F37"/>
    <w:rsid w:val="00B67081"/>
    <w:rsid w:val="00B94AA6"/>
    <w:rsid w:val="00B97DC3"/>
    <w:rsid w:val="00BA36AC"/>
    <w:rsid w:val="00BA6168"/>
    <w:rsid w:val="00BA7C8E"/>
    <w:rsid w:val="00BC21FF"/>
    <w:rsid w:val="00BC51B4"/>
    <w:rsid w:val="00BE1475"/>
    <w:rsid w:val="00BF3B3A"/>
    <w:rsid w:val="00BF6D76"/>
    <w:rsid w:val="00C1453D"/>
    <w:rsid w:val="00C22052"/>
    <w:rsid w:val="00C23858"/>
    <w:rsid w:val="00C42F2A"/>
    <w:rsid w:val="00C55487"/>
    <w:rsid w:val="00C70C96"/>
    <w:rsid w:val="00C7663C"/>
    <w:rsid w:val="00C77A96"/>
    <w:rsid w:val="00C77F04"/>
    <w:rsid w:val="00CA17DA"/>
    <w:rsid w:val="00CA4B81"/>
    <w:rsid w:val="00CA662E"/>
    <w:rsid w:val="00CB0AD0"/>
    <w:rsid w:val="00CD5723"/>
    <w:rsid w:val="00CE19EC"/>
    <w:rsid w:val="00CE7E13"/>
    <w:rsid w:val="00D156ED"/>
    <w:rsid w:val="00D275D2"/>
    <w:rsid w:val="00D44EBC"/>
    <w:rsid w:val="00D4525B"/>
    <w:rsid w:val="00D50628"/>
    <w:rsid w:val="00D76AB2"/>
    <w:rsid w:val="00D80EDA"/>
    <w:rsid w:val="00DB6188"/>
    <w:rsid w:val="00DC04FD"/>
    <w:rsid w:val="00DD1201"/>
    <w:rsid w:val="00DE6A84"/>
    <w:rsid w:val="00DF3D28"/>
    <w:rsid w:val="00E00BD7"/>
    <w:rsid w:val="00E06B77"/>
    <w:rsid w:val="00E07149"/>
    <w:rsid w:val="00E104D1"/>
    <w:rsid w:val="00E11116"/>
    <w:rsid w:val="00E11E4E"/>
    <w:rsid w:val="00E13721"/>
    <w:rsid w:val="00E146D2"/>
    <w:rsid w:val="00E2041E"/>
    <w:rsid w:val="00E23604"/>
    <w:rsid w:val="00E23B5B"/>
    <w:rsid w:val="00E242BA"/>
    <w:rsid w:val="00E3047D"/>
    <w:rsid w:val="00E4029E"/>
    <w:rsid w:val="00E43835"/>
    <w:rsid w:val="00E5232A"/>
    <w:rsid w:val="00E53E4B"/>
    <w:rsid w:val="00E61C3A"/>
    <w:rsid w:val="00E638F2"/>
    <w:rsid w:val="00E6785D"/>
    <w:rsid w:val="00E84538"/>
    <w:rsid w:val="00E916A8"/>
    <w:rsid w:val="00E930EF"/>
    <w:rsid w:val="00EA21A2"/>
    <w:rsid w:val="00EB6585"/>
    <w:rsid w:val="00EC376A"/>
    <w:rsid w:val="00EC7073"/>
    <w:rsid w:val="00EE0B30"/>
    <w:rsid w:val="00EE2E66"/>
    <w:rsid w:val="00EF05E2"/>
    <w:rsid w:val="00EF7393"/>
    <w:rsid w:val="00F10B71"/>
    <w:rsid w:val="00F32E2A"/>
    <w:rsid w:val="00F5664A"/>
    <w:rsid w:val="00F76E6E"/>
    <w:rsid w:val="00F9061F"/>
    <w:rsid w:val="00F948A8"/>
    <w:rsid w:val="00FA3EDD"/>
    <w:rsid w:val="00FA4881"/>
    <w:rsid w:val="00FA5E13"/>
    <w:rsid w:val="00FA63C4"/>
    <w:rsid w:val="00FB0D31"/>
    <w:rsid w:val="00FB7563"/>
    <w:rsid w:val="00FC3084"/>
    <w:rsid w:val="00FD60CB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4D2BED-3A0D-45F1-82F3-72003AF1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6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2F2DCE"/>
    <w:rPr>
      <w:color w:val="0000FF"/>
      <w:u w:val="single"/>
    </w:rPr>
  </w:style>
  <w:style w:type="paragraph" w:customStyle="1" w:styleId="Tabledate">
    <w:name w:val="Table date"/>
    <w:basedOn w:val="a"/>
    <w:rsid w:val="002F2DCE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OfficinaSansMediumC" w:eastAsia="Times New Roman" w:hAnsi="OfficinaSansMediumC" w:cs="OfficinaSansMediumC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F5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азвание таблицы 2К"/>
    <w:basedOn w:val="a"/>
    <w:autoRedefine/>
    <w:rsid w:val="00B25660"/>
    <w:pPr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styleId="a8">
    <w:name w:val="List Paragraph"/>
    <w:basedOn w:val="a"/>
    <w:uiPriority w:val="34"/>
    <w:qFormat/>
    <w:rsid w:val="0099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6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0.xml"/><Relationship Id="rId23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hyperlink" Target="mailto:analitika@bn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20032507110934"/>
          <c:y val="3.4947228373180254E-2"/>
          <c:w val="0.76749676392545529"/>
          <c:h val="0.825135540495500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42339</c:v>
                </c:pt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100388.99561844829</c:v>
                </c:pt>
                <c:pt idx="1">
                  <c:v>101309.06734228802</c:v>
                </c:pt>
                <c:pt idx="2">
                  <c:v>101300.783000303</c:v>
                </c:pt>
                <c:pt idx="3">
                  <c:v>100260.81616361182</c:v>
                </c:pt>
                <c:pt idx="4">
                  <c:v>98859.813506473656</c:v>
                </c:pt>
                <c:pt idx="5">
                  <c:v>98918.741885940239</c:v>
                </c:pt>
                <c:pt idx="6">
                  <c:v>99650.025320573404</c:v>
                </c:pt>
                <c:pt idx="7">
                  <c:v>100951.89352322342</c:v>
                </c:pt>
                <c:pt idx="8">
                  <c:v>101702.43872897935</c:v>
                </c:pt>
                <c:pt idx="9">
                  <c:v>102388.22286463792</c:v>
                </c:pt>
                <c:pt idx="10">
                  <c:v>102668.62773494706</c:v>
                </c:pt>
                <c:pt idx="11">
                  <c:v>103201.700401225</c:v>
                </c:pt>
                <c:pt idx="12">
                  <c:v>103484.59920964709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503-46B2-85A8-FC69D5AB8A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5310064"/>
        <c:axId val="205307320"/>
      </c:lineChart>
      <c:dateAx>
        <c:axId val="205310064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205307320"/>
        <c:crossesAt val="97000"/>
        <c:auto val="1"/>
        <c:lblOffset val="100"/>
        <c:baseTimeUnit val="months"/>
        <c:majorUnit val="3"/>
        <c:majorTimeUnit val="months"/>
      </c:dateAx>
      <c:valAx>
        <c:axId val="205307320"/>
        <c:scaling>
          <c:orientation val="minMax"/>
          <c:max val="106000"/>
          <c:min val="97000"/>
        </c:scaling>
        <c:delete val="0"/>
        <c:axPos val="l"/>
        <c:numFmt formatCode="#,##0" sourceLinked="0"/>
        <c:majorTickMark val="out"/>
        <c:minorTickMark val="none"/>
        <c:tickLblPos val="nextTo"/>
        <c:crossAx val="205310064"/>
        <c:crosses val="autoZero"/>
        <c:crossBetween val="between"/>
        <c:majorUnit val="1500"/>
      </c:valAx>
      <c:spPr>
        <a:noFill/>
      </c:spPr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225451914557136"/>
          <c:y val="3.6710896856871123E-3"/>
          <c:w val="0.53014667090092349"/>
          <c:h val="0.859458618314709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Кирпич</c:v>
                </c:pt>
                <c:pt idx="1">
                  <c:v>Кирпич/монолит</c:v>
                </c:pt>
                <c:pt idx="2">
                  <c:v>Малоэтаж. стр-во</c:v>
                </c:pt>
                <c:pt idx="3">
                  <c:v>Монолит</c:v>
                </c:pt>
                <c:pt idx="4">
                  <c:v>Панель</c:v>
                </c:pt>
                <c:pt idx="5">
                  <c:v>Смешанный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2.5454545454545455E-2</c:v>
                </c:pt>
                <c:pt idx="1">
                  <c:v>0.62181818181818183</c:v>
                </c:pt>
                <c:pt idx="2">
                  <c:v>2.9090909090909091E-2</c:v>
                </c:pt>
                <c:pt idx="3">
                  <c:v>0.21090909090909093</c:v>
                </c:pt>
                <c:pt idx="4">
                  <c:v>0.1090909090909091</c:v>
                </c:pt>
                <c:pt idx="5">
                  <c:v>3.6363636363636368E-3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A2-4CB0-B201-FD859928D4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684416"/>
        <c:axId val="237682064"/>
      </c:barChart>
      <c:catAx>
        <c:axId val="2376844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7682064"/>
        <c:crosses val="autoZero"/>
        <c:auto val="1"/>
        <c:lblAlgn val="ctr"/>
        <c:lblOffset val="100"/>
        <c:noMultiLvlLbl val="0"/>
      </c:catAx>
      <c:valAx>
        <c:axId val="237682064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237684416"/>
        <c:crosses val="autoZero"/>
        <c:crossBetween val="between"/>
        <c:majorUnit val="0.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49377698755465"/>
          <c:y val="0.14187615740740744"/>
          <c:w val="0.48531572263144573"/>
          <c:h val="0.829291666666666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2.939814814814814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F23-473B-9BC4-1A275816746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8709677419354958E-2"/>
                  <c:y val="5.879629629629648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F23-473B-9BC4-1A275816746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8709677419355007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F23-473B-9BC4-1A275816746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4516129032257993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F23-473B-9BC4-1A275816746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студии и 1ккв</c:v>
                </c:pt>
                <c:pt idx="1">
                  <c:v>2ккв</c:v>
                </c:pt>
                <c:pt idx="2">
                  <c:v>3ккв</c:v>
                </c:pt>
                <c:pt idx="3">
                  <c:v>4ккв</c:v>
                </c:pt>
                <c:pt idx="4">
                  <c:v>&gt;4ккв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0.48196380533137689</c:v>
                </c:pt>
                <c:pt idx="1">
                  <c:v>0.29188065541697245</c:v>
                </c:pt>
                <c:pt idx="2">
                  <c:v>0.19093910491562729</c:v>
                </c:pt>
                <c:pt idx="3">
                  <c:v>3.3137686475910991E-2</c:v>
                </c:pt>
                <c:pt idx="4">
                  <c:v>2.0787478601124979E-3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F23-473B-9BC4-1A2758167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8815420956379533E-2"/>
          <c:y val="2.7330248796375706E-2"/>
          <c:w val="0.91803393371897313"/>
          <c:h val="0.58316293300047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5A80AD"/>
            </a:solidFill>
          </c:spPr>
          <c:invertIfNegative val="0"/>
          <c:dLbls>
            <c:delete val="1"/>
          </c:dLbls>
          <c:cat>
            <c:strRef>
              <c:f>Sheet1!$B$1:$N$1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Sheet1!$B$2:$N$2</c:f>
              <c:numCache>
                <c:formatCode>0.00%</c:formatCode>
                <c:ptCount val="13"/>
                <c:pt idx="0">
                  <c:v>2.9090909090909091E-2</c:v>
                </c:pt>
                <c:pt idx="1">
                  <c:v>5.8181818181818175E-2</c:v>
                </c:pt>
                <c:pt idx="2">
                  <c:v>0.12727272727272723</c:v>
                </c:pt>
                <c:pt idx="3">
                  <c:v>7.2727272727272724E-2</c:v>
                </c:pt>
                <c:pt idx="4">
                  <c:v>6.9090909090909106E-2</c:v>
                </c:pt>
                <c:pt idx="5">
                  <c:v>6.545454545454546E-2</c:v>
                </c:pt>
                <c:pt idx="6">
                  <c:v>7.2727272727272724E-2</c:v>
                </c:pt>
                <c:pt idx="7">
                  <c:v>0.10545454545454547</c:v>
                </c:pt>
                <c:pt idx="8">
                  <c:v>9.0909090909090939E-2</c:v>
                </c:pt>
                <c:pt idx="9">
                  <c:v>8.7272727272727252E-2</c:v>
                </c:pt>
                <c:pt idx="10">
                  <c:v>0.14181818181818187</c:v>
                </c:pt>
                <c:pt idx="11">
                  <c:v>2.181818181818182E-2</c:v>
                </c:pt>
                <c:pt idx="12">
                  <c:v>5.8181818181818175E-2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AF-41A7-AC4B-761B4C3088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4082232"/>
        <c:axId val="241825296"/>
      </c:barChart>
      <c:catAx>
        <c:axId val="244082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241825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1825296"/>
        <c:scaling>
          <c:orientation val="minMax"/>
          <c:max val="0.2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44082232"/>
        <c:crosses val="autoZero"/>
        <c:crossBetween val="between"/>
        <c:majorUnit val="2.5000000000000012E-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284"/>
          <c:y val="3.5452410049677092E-3"/>
          <c:w val="0.75214407756831192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&lt;25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45-50</c:v>
                </c:pt>
                <c:pt idx="6">
                  <c:v>&gt;50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5.6070024102499054E-2</c:v>
                </c:pt>
                <c:pt idx="1">
                  <c:v>0.1184828111125206</c:v>
                </c:pt>
                <c:pt idx="2">
                  <c:v>0.15374857287834584</c:v>
                </c:pt>
                <c:pt idx="3">
                  <c:v>0.27248509450716735</c:v>
                </c:pt>
                <c:pt idx="4">
                  <c:v>0.20043130787771157</c:v>
                </c:pt>
                <c:pt idx="5">
                  <c:v>0.1000887986807053</c:v>
                </c:pt>
                <c:pt idx="6">
                  <c:v>9.8693390841050388E-2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C8-4B3D-99D3-CAD8626F0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69888"/>
        <c:axId val="6559304"/>
      </c:barChart>
      <c:catAx>
        <c:axId val="6569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559304"/>
        <c:crosses val="autoZero"/>
        <c:auto val="1"/>
        <c:lblAlgn val="ctr"/>
        <c:lblOffset val="100"/>
        <c:noMultiLvlLbl val="0"/>
      </c:catAx>
      <c:valAx>
        <c:axId val="6559304"/>
        <c:scaling>
          <c:orientation val="minMax"/>
          <c:max val="0.4"/>
        </c:scaling>
        <c:delete val="0"/>
        <c:axPos val="b"/>
        <c:numFmt formatCode="0%" sourceLinked="0"/>
        <c:majorTickMark val="out"/>
        <c:minorTickMark val="none"/>
        <c:tickLblPos val="nextTo"/>
        <c:crossAx val="6569888"/>
        <c:crosses val="autoZero"/>
        <c:crossBetween val="between"/>
        <c:majorUnit val="0.1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292"/>
          <c:y val="3.5452410049677092E-3"/>
          <c:w val="0.74198439027747165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&lt;45</c:v>
                </c:pt>
                <c:pt idx="1">
                  <c:v>45-55</c:v>
                </c:pt>
                <c:pt idx="2">
                  <c:v>55-65</c:v>
                </c:pt>
                <c:pt idx="3">
                  <c:v>65-75</c:v>
                </c:pt>
                <c:pt idx="4">
                  <c:v>75-85</c:v>
                </c:pt>
                <c:pt idx="5">
                  <c:v>&gt;85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3.4352744030163383E-2</c:v>
                </c:pt>
                <c:pt idx="1">
                  <c:v>0.17574361122748222</c:v>
                </c:pt>
                <c:pt idx="2">
                  <c:v>0.41935483870967755</c:v>
                </c:pt>
                <c:pt idx="3">
                  <c:v>0.2080016757436112</c:v>
                </c:pt>
                <c:pt idx="4">
                  <c:v>0.10201089233347298</c:v>
                </c:pt>
                <c:pt idx="5">
                  <c:v>6.0536237955592813E-2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58-4E6A-9407-C9BFBEA35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65576"/>
        <c:axId val="6574200"/>
      </c:barChart>
      <c:catAx>
        <c:axId val="65655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574200"/>
        <c:crosses val="autoZero"/>
        <c:auto val="1"/>
        <c:lblAlgn val="ctr"/>
        <c:lblOffset val="100"/>
        <c:noMultiLvlLbl val="0"/>
      </c:catAx>
      <c:valAx>
        <c:axId val="6574200"/>
        <c:scaling>
          <c:orientation val="minMax"/>
          <c:max val="0.5"/>
        </c:scaling>
        <c:delete val="0"/>
        <c:axPos val="b"/>
        <c:numFmt formatCode="0%" sourceLinked="0"/>
        <c:majorTickMark val="out"/>
        <c:minorTickMark val="none"/>
        <c:tickLblPos val="nextTo"/>
        <c:crossAx val="6565576"/>
        <c:crosses val="autoZero"/>
        <c:crossBetween val="between"/>
        <c:majorUnit val="0.1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292"/>
          <c:y val="3.5452410049677092E-3"/>
          <c:w val="0.75218327403454865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&lt;70</c:v>
                </c:pt>
                <c:pt idx="1">
                  <c:v>70-85</c:v>
                </c:pt>
                <c:pt idx="2">
                  <c:v>85-100</c:v>
                </c:pt>
                <c:pt idx="3">
                  <c:v>100-115</c:v>
                </c:pt>
                <c:pt idx="4">
                  <c:v>115-130</c:v>
                </c:pt>
                <c:pt idx="5">
                  <c:v>&gt;130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3.1700288184438041E-2</c:v>
                </c:pt>
                <c:pt idx="1">
                  <c:v>0.34357989113032344</c:v>
                </c:pt>
                <c:pt idx="2">
                  <c:v>0.37592058917707349</c:v>
                </c:pt>
                <c:pt idx="3">
                  <c:v>0.15049631764329177</c:v>
                </c:pt>
                <c:pt idx="4">
                  <c:v>4.6429715017611277E-2</c:v>
                </c:pt>
                <c:pt idx="5">
                  <c:v>5.1873198847262256E-2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D2-4658-BC88-411B5EBBD3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271160"/>
        <c:axId val="199149080"/>
      </c:barChart>
      <c:catAx>
        <c:axId val="2012711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9149080"/>
        <c:crosses val="autoZero"/>
        <c:auto val="1"/>
        <c:lblAlgn val="ctr"/>
        <c:lblOffset val="100"/>
        <c:noMultiLvlLbl val="0"/>
      </c:catAx>
      <c:valAx>
        <c:axId val="199149080"/>
        <c:scaling>
          <c:orientation val="minMax"/>
          <c:max val="0.5"/>
        </c:scaling>
        <c:delete val="0"/>
        <c:axPos val="b"/>
        <c:numFmt formatCode="0%" sourceLinked="0"/>
        <c:majorTickMark val="out"/>
        <c:minorTickMark val="none"/>
        <c:tickLblPos val="nextTo"/>
        <c:crossAx val="2012711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15148083050298"/>
          <c:y val="3.5452410049677092E-3"/>
          <c:w val="0.74198439027747165"/>
          <c:h val="0.83657437533395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&lt;90</c:v>
                </c:pt>
                <c:pt idx="1">
                  <c:v>90-110</c:v>
                </c:pt>
                <c:pt idx="2">
                  <c:v>110-130</c:v>
                </c:pt>
                <c:pt idx="3">
                  <c:v>130-150</c:v>
                </c:pt>
                <c:pt idx="4">
                  <c:v>150-170</c:v>
                </c:pt>
                <c:pt idx="5">
                  <c:v>&gt;170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2.9520295202952029E-2</c:v>
                </c:pt>
                <c:pt idx="1">
                  <c:v>0.19926199261992622</c:v>
                </c:pt>
                <c:pt idx="2">
                  <c:v>0.33763837638376387</c:v>
                </c:pt>
                <c:pt idx="3">
                  <c:v>0.21586715867158671</c:v>
                </c:pt>
                <c:pt idx="4">
                  <c:v>0.12177121771217712</c:v>
                </c:pt>
                <c:pt idx="5">
                  <c:v>9.5940959409594101E-2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E4-4CFD-A163-BC0024F0A1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987736"/>
        <c:axId val="205309280"/>
      </c:barChart>
      <c:catAx>
        <c:axId val="200987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5309280"/>
        <c:crosses val="autoZero"/>
        <c:auto val="1"/>
        <c:lblAlgn val="ctr"/>
        <c:lblOffset val="100"/>
        <c:noMultiLvlLbl val="0"/>
      </c:catAx>
      <c:valAx>
        <c:axId val="205309280"/>
        <c:scaling>
          <c:orientation val="minMax"/>
          <c:max val="0.4"/>
        </c:scaling>
        <c:delete val="0"/>
        <c:axPos val="b"/>
        <c:numFmt formatCode="0%" sourceLinked="0"/>
        <c:majorTickMark val="out"/>
        <c:minorTickMark val="none"/>
        <c:tickLblPos val="nextTo"/>
        <c:crossAx val="2009877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34433211125624"/>
          <c:y val="4.32379735584935E-2"/>
          <c:w val="0.82324679973830051"/>
          <c:h val="0.845685295352579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  <a:ln>
              <a:solidFill>
                <a:srgbClr val="5A80AD"/>
              </a:solidFill>
            </a:ln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42339</c:v>
                </c:pt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-6.2964951278575718E-3</c:v>
                </c:pt>
                <c:pt idx="1">
                  <c:v>9.1650655350381544E-3</c:v>
                </c:pt>
                <c:pt idx="2">
                  <c:v>-8.1772956778136701E-5</c:v>
                </c:pt>
                <c:pt idx="3">
                  <c:v>-1.0266128315000959E-2</c:v>
                </c:pt>
                <c:pt idx="4">
                  <c:v>-1.3973581212942681E-2</c:v>
                </c:pt>
                <c:pt idx="5">
                  <c:v>5.9608022083423873E-4</c:v>
                </c:pt>
                <c:pt idx="6">
                  <c:v>7.3927692638506865E-3</c:v>
                </c:pt>
                <c:pt idx="7">
                  <c:v>1.3064404132983711E-2</c:v>
                </c:pt>
                <c:pt idx="8">
                  <c:v>7.434681803003996E-3</c:v>
                </c:pt>
                <c:pt idx="9">
                  <c:v>6.7430451445327239E-3</c:v>
                </c:pt>
                <c:pt idx="10">
                  <c:v>2.7386437860128514E-3</c:v>
                </c:pt>
                <c:pt idx="11">
                  <c:v>5.1921670527645966E-3</c:v>
                </c:pt>
                <c:pt idx="12">
                  <c:v>2.7412223570177927E-3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5C-42F1-B8BE-C2A34E3207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492048"/>
        <c:axId val="203491264"/>
      </c:barChart>
      <c:dateAx>
        <c:axId val="203492048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203491264"/>
        <c:crosses val="autoZero"/>
        <c:auto val="1"/>
        <c:lblOffset val="100"/>
        <c:baseTimeUnit val="months"/>
        <c:majorUnit val="3"/>
        <c:majorTimeUnit val="months"/>
      </c:dateAx>
      <c:valAx>
        <c:axId val="203491264"/>
        <c:scaling>
          <c:orientation val="minMax"/>
          <c:max val="3.0000000000000016E-2"/>
          <c:min val="-3.0000000000000016E-2"/>
        </c:scaling>
        <c:delete val="0"/>
        <c:axPos val="l"/>
        <c:numFmt formatCode="0.0%" sourceLinked="0"/>
        <c:majorTickMark val="out"/>
        <c:minorTickMark val="none"/>
        <c:tickLblPos val="nextTo"/>
        <c:crossAx val="203492048"/>
        <c:crosses val="autoZero"/>
        <c:crossBetween val="between"/>
        <c:majorUnit val="1.0000000000000005E-2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16466802168022"/>
          <c:y val="0"/>
          <c:w val="0.7479584803869147"/>
          <c:h val="0.8824385195334224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&lt;65</c:v>
                </c:pt>
                <c:pt idx="1">
                  <c:v>65-80</c:v>
                </c:pt>
                <c:pt idx="2">
                  <c:v>80-95</c:v>
                </c:pt>
                <c:pt idx="3">
                  <c:v>95-110</c:v>
                </c:pt>
                <c:pt idx="4">
                  <c:v>110-125</c:v>
                </c:pt>
                <c:pt idx="5">
                  <c:v>125-140</c:v>
                </c:pt>
                <c:pt idx="6">
                  <c:v>140-155</c:v>
                </c:pt>
                <c:pt idx="7">
                  <c:v>155-170</c:v>
                </c:pt>
                <c:pt idx="8">
                  <c:v>&gt;170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2.0231037222663659E-2</c:v>
                </c:pt>
                <c:pt idx="1">
                  <c:v>0.20102683210072736</c:v>
                </c:pt>
                <c:pt idx="2">
                  <c:v>0.19308110751176583</c:v>
                </c:pt>
                <c:pt idx="3">
                  <c:v>0.21924087769696232</c:v>
                </c:pt>
                <c:pt idx="4">
                  <c:v>0.15463602469286722</c:v>
                </c:pt>
                <c:pt idx="5">
                  <c:v>7.6584560845914071E-2</c:v>
                </c:pt>
                <c:pt idx="6">
                  <c:v>5.3664201454678817E-2</c:v>
                </c:pt>
                <c:pt idx="7">
                  <c:v>2.5365197726300356E-2</c:v>
                </c:pt>
                <c:pt idx="8">
                  <c:v>5.6170160748120521E-2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5F-4F5E-B9D9-A3B1D432BD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802064"/>
        <c:axId val="235802456"/>
      </c:barChart>
      <c:catAx>
        <c:axId val="2358020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35802456"/>
        <c:crosses val="autoZero"/>
        <c:auto val="1"/>
        <c:lblAlgn val="ctr"/>
        <c:lblOffset val="100"/>
        <c:noMultiLvlLbl val="0"/>
      </c:catAx>
      <c:valAx>
        <c:axId val="235802456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2358020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95227615600244"/>
          <c:y val="4.2530948144567364E-2"/>
          <c:w val="0.76328070160883565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Студии и 1ккв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42339</c:v>
                </c:pt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97550.598244086112</c:v>
                </c:pt>
                <c:pt idx="1">
                  <c:v>98439.317956589002</c:v>
                </c:pt>
                <c:pt idx="2">
                  <c:v>98143.346307834901</c:v>
                </c:pt>
                <c:pt idx="3">
                  <c:v>97121.86173303159</c:v>
                </c:pt>
                <c:pt idx="4">
                  <c:v>96244.761902029786</c:v>
                </c:pt>
                <c:pt idx="5">
                  <c:v>96969.890280823107</c:v>
                </c:pt>
                <c:pt idx="6">
                  <c:v>97235.051483713658</c:v>
                </c:pt>
                <c:pt idx="7">
                  <c:v>98587.447962819657</c:v>
                </c:pt>
                <c:pt idx="8">
                  <c:v>99214.7623288287</c:v>
                </c:pt>
                <c:pt idx="9">
                  <c:v>100373.95727307998</c:v>
                </c:pt>
                <c:pt idx="10">
                  <c:v>99808.256721954007</c:v>
                </c:pt>
                <c:pt idx="11">
                  <c:v>100800.17332336101</c:v>
                </c:pt>
                <c:pt idx="12">
                  <c:v>100459.80262289976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B6C-42F2-B884-33369D890B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2ккв</c:v>
                </c:pt>
              </c:strCache>
            </c:strRef>
          </c:tx>
          <c:spPr>
            <a:ln>
              <a:solidFill>
                <a:srgbClr val="5A80AD">
                  <a:alpha val="7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42339</c:v>
                </c:pt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99236.402843702483</c:v>
                </c:pt>
                <c:pt idx="1">
                  <c:v>100908.29645965199</c:v>
                </c:pt>
                <c:pt idx="2">
                  <c:v>100531.784878183</c:v>
                </c:pt>
                <c:pt idx="3">
                  <c:v>99948.936091255018</c:v>
                </c:pt>
                <c:pt idx="4">
                  <c:v>97637.962890278286</c:v>
                </c:pt>
                <c:pt idx="5">
                  <c:v>98095.781466308632</c:v>
                </c:pt>
                <c:pt idx="6">
                  <c:v>99841.052237823984</c:v>
                </c:pt>
                <c:pt idx="7">
                  <c:v>100837.326152785</c:v>
                </c:pt>
                <c:pt idx="8">
                  <c:v>100686.72506255803</c:v>
                </c:pt>
                <c:pt idx="9">
                  <c:v>101657.76795655199</c:v>
                </c:pt>
                <c:pt idx="10">
                  <c:v>102526.82463324133</c:v>
                </c:pt>
                <c:pt idx="11">
                  <c:v>102226.72741276999</c:v>
                </c:pt>
                <c:pt idx="12">
                  <c:v>102773.32266673494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B6C-42F2-B884-33369D890B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3ккв</c:v>
                </c:pt>
              </c:strCache>
            </c:strRef>
          </c:tx>
          <c:spPr>
            <a:ln>
              <a:solidFill>
                <a:srgbClr val="5A80AD">
                  <a:alpha val="3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42339</c:v>
                </c:pt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</c:numCache>
            </c:numRef>
          </c:cat>
          <c:val>
            <c:numRef>
              <c:f>Лист1!$D$2:$D$14</c:f>
              <c:numCache>
                <c:formatCode>0</c:formatCode>
                <c:ptCount val="13"/>
                <c:pt idx="0">
                  <c:v>103327.72701466741</c:v>
                </c:pt>
                <c:pt idx="1">
                  <c:v>103903.906020715</c:v>
                </c:pt>
                <c:pt idx="2">
                  <c:v>104169.123383977</c:v>
                </c:pt>
                <c:pt idx="3">
                  <c:v>102686.73863435502</c:v>
                </c:pt>
                <c:pt idx="4">
                  <c:v>101304.504737546</c:v>
                </c:pt>
                <c:pt idx="5">
                  <c:v>99646.287752132877</c:v>
                </c:pt>
                <c:pt idx="6">
                  <c:v>100255.57441615702</c:v>
                </c:pt>
                <c:pt idx="7">
                  <c:v>102693.40433919427</c:v>
                </c:pt>
                <c:pt idx="8">
                  <c:v>102587.04900816502</c:v>
                </c:pt>
                <c:pt idx="9">
                  <c:v>102279.030597834</c:v>
                </c:pt>
                <c:pt idx="10">
                  <c:v>103511.85517650301</c:v>
                </c:pt>
                <c:pt idx="11">
                  <c:v>104301.11673926198</c:v>
                </c:pt>
                <c:pt idx="12">
                  <c:v>106133.519420729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B6C-42F2-B884-33369D890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8440248"/>
        <c:axId val="235807160"/>
      </c:lineChart>
      <c:dateAx>
        <c:axId val="158440248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235807160"/>
        <c:crossesAt val="92000"/>
        <c:auto val="1"/>
        <c:lblOffset val="100"/>
        <c:baseTimeUnit val="months"/>
        <c:majorUnit val="3"/>
        <c:majorTimeUnit val="months"/>
      </c:dateAx>
      <c:valAx>
        <c:axId val="235807160"/>
        <c:scaling>
          <c:orientation val="minMax"/>
          <c:max val="112000"/>
          <c:min val="92000"/>
        </c:scaling>
        <c:delete val="0"/>
        <c:axPos val="l"/>
        <c:numFmt formatCode="#,##0" sourceLinked="0"/>
        <c:majorTickMark val="out"/>
        <c:minorTickMark val="none"/>
        <c:tickLblPos val="nextTo"/>
        <c:crossAx val="158440248"/>
        <c:crosses val="autoZero"/>
        <c:crossBetween val="between"/>
        <c:majorUnit val="5000"/>
      </c:valAx>
      <c:spPr>
        <a:noFill/>
      </c:spPr>
    </c:plotArea>
    <c:legend>
      <c:legendPos val="r"/>
      <c:layout>
        <c:manualLayout>
          <c:xMode val="edge"/>
          <c:yMode val="edge"/>
          <c:x val="0.20232957224840287"/>
          <c:y val="0"/>
          <c:w val="0.7931654414207856"/>
          <c:h val="0.1395397457141529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131641004846324"/>
          <c:y val="4.2530948144567364E-2"/>
          <c:w val="0.77691663752787743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Панель</c:v>
                </c:pt>
              </c:strCache>
            </c:strRef>
          </c:tx>
          <c:spPr>
            <a:ln>
              <a:solidFill>
                <a:srgbClr val="5A80AD">
                  <a:alpha val="30000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42339</c:v>
                </c:pt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89893.891493584015</c:v>
                </c:pt>
                <c:pt idx="1">
                  <c:v>90321.694841531746</c:v>
                </c:pt>
                <c:pt idx="2">
                  <c:v>90455.304476662801</c:v>
                </c:pt>
                <c:pt idx="3">
                  <c:v>89938.095455035116</c:v>
                </c:pt>
                <c:pt idx="4">
                  <c:v>89569.018139647582</c:v>
                </c:pt>
                <c:pt idx="5">
                  <c:v>90969.018139647582</c:v>
                </c:pt>
                <c:pt idx="6">
                  <c:v>90216.71245200868</c:v>
                </c:pt>
                <c:pt idx="7">
                  <c:v>90264.585292577103</c:v>
                </c:pt>
                <c:pt idx="8">
                  <c:v>91024.345244446391</c:v>
                </c:pt>
                <c:pt idx="9">
                  <c:v>92198.445926311193</c:v>
                </c:pt>
                <c:pt idx="10">
                  <c:v>92390.806168333016</c:v>
                </c:pt>
                <c:pt idx="11">
                  <c:v>93212.471591501991</c:v>
                </c:pt>
                <c:pt idx="12">
                  <c:v>94052.633693045995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621-41B5-AFD6-7E9BC6BA70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Кирпич/монолит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42339</c:v>
                </c:pt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</c:numCache>
            </c:numRef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621-41B5-AFD6-7E9BC6BA7052}"/>
            </c:ext>
          </c:extLst>
        </c:ser>
        <c:ser>
          <c:idx val="2"/>
          <c:order val="2"/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42339</c:v>
                </c:pt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100091.93745003686</c:v>
                </c:pt>
                <c:pt idx="1">
                  <c:v>101092.69052282</c:v>
                </c:pt>
                <c:pt idx="2">
                  <c:v>100594.17252846401</c:v>
                </c:pt>
                <c:pt idx="3">
                  <c:v>100097.108906113</c:v>
                </c:pt>
                <c:pt idx="4">
                  <c:v>99161.186017790693</c:v>
                </c:pt>
                <c:pt idx="5">
                  <c:v>99061.186017790693</c:v>
                </c:pt>
                <c:pt idx="6">
                  <c:v>99868.834215100389</c:v>
                </c:pt>
                <c:pt idx="7">
                  <c:v>100776.514415856</c:v>
                </c:pt>
                <c:pt idx="8">
                  <c:v>101575.233727402</c:v>
                </c:pt>
                <c:pt idx="9">
                  <c:v>102009.53536813002</c:v>
                </c:pt>
                <c:pt idx="10">
                  <c:v>102258.51149300201</c:v>
                </c:pt>
                <c:pt idx="11">
                  <c:v>103325.95261916898</c:v>
                </c:pt>
                <c:pt idx="12">
                  <c:v>104520.85066688003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621-41B5-AFD6-7E9BC6BA70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1272728"/>
        <c:axId val="201272336"/>
      </c:lineChart>
      <c:dateAx>
        <c:axId val="201272728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201272336"/>
        <c:crossesAt val="80000"/>
        <c:auto val="1"/>
        <c:lblOffset val="100"/>
        <c:baseTimeUnit val="months"/>
        <c:majorUnit val="3"/>
        <c:majorTimeUnit val="months"/>
      </c:dateAx>
      <c:valAx>
        <c:axId val="201272336"/>
        <c:scaling>
          <c:orientation val="minMax"/>
          <c:max val="120000"/>
          <c:min val="80000"/>
        </c:scaling>
        <c:delete val="0"/>
        <c:axPos val="l"/>
        <c:numFmt formatCode="#,##0" sourceLinked="0"/>
        <c:majorTickMark val="out"/>
        <c:minorTickMark val="none"/>
        <c:tickLblPos val="nextTo"/>
        <c:crossAx val="201272728"/>
        <c:crosses val="autoZero"/>
        <c:crossBetween val="between"/>
        <c:majorUnit val="10000"/>
      </c:valAx>
      <c:spPr>
        <a:noFill/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24014657905063322"/>
          <c:y val="0"/>
          <c:w val="0.51361720867208671"/>
          <c:h val="0.2085619408071260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495227615600244"/>
          <c:y val="4.2530948144567364E-2"/>
          <c:w val="0.76328070160883565"/>
          <c:h val="0.81700088782802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элит</c:v>
                </c:pt>
              </c:strCache>
            </c:strRef>
          </c:tx>
          <c:spPr>
            <a:ln>
              <a:solidFill>
                <a:srgbClr val="5A80AD"/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42339</c:v>
                </c:pt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</c:numCache>
            </c:numRef>
          </c:cat>
          <c:val>
            <c:numRef>
              <c:f>Лист1!$B$2:$B$14</c:f>
              <c:numCache>
                <c:formatCode>0</c:formatCode>
                <c:ptCount val="13"/>
                <c:pt idx="0">
                  <c:v>291054.10906092502</c:v>
                </c:pt>
                <c:pt idx="1">
                  <c:v>295882.380335756</c:v>
                </c:pt>
                <c:pt idx="2">
                  <c:v>285674.84066446603</c:v>
                </c:pt>
                <c:pt idx="3">
                  <c:v>285897.78930703102</c:v>
                </c:pt>
                <c:pt idx="4">
                  <c:v>285509.97664751403</c:v>
                </c:pt>
                <c:pt idx="5">
                  <c:v>286123.52110429603</c:v>
                </c:pt>
                <c:pt idx="6">
                  <c:v>293756.94712423394</c:v>
                </c:pt>
                <c:pt idx="7">
                  <c:v>297441.13366034307</c:v>
                </c:pt>
                <c:pt idx="8">
                  <c:v>287051.05020335002</c:v>
                </c:pt>
                <c:pt idx="9">
                  <c:v>299063.77583070192</c:v>
                </c:pt>
                <c:pt idx="10">
                  <c:v>300376.75215656194</c:v>
                </c:pt>
                <c:pt idx="11">
                  <c:v>296539.84028394002</c:v>
                </c:pt>
                <c:pt idx="12">
                  <c:v>280319.40476190508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D93-495B-A635-1C2088D832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бизнес</c:v>
                </c:pt>
              </c:strCache>
            </c:strRef>
          </c:tx>
          <c:spPr>
            <a:ln>
              <a:solidFill>
                <a:srgbClr val="5A80AD">
                  <a:alpha val="6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42339</c:v>
                </c:pt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</c:numCache>
            </c:numRef>
          </c:cat>
          <c:val>
            <c:numRef>
              <c:f>Лист1!$C$2:$C$14</c:f>
              <c:numCache>
                <c:formatCode>0</c:formatCode>
                <c:ptCount val="13"/>
                <c:pt idx="0">
                  <c:v>165065.65644881499</c:v>
                </c:pt>
                <c:pt idx="1">
                  <c:v>167116.80573442299</c:v>
                </c:pt>
                <c:pt idx="2">
                  <c:v>161736.75357187699</c:v>
                </c:pt>
                <c:pt idx="3">
                  <c:v>161506.833768368</c:v>
                </c:pt>
                <c:pt idx="4">
                  <c:v>161456.11198207599</c:v>
                </c:pt>
                <c:pt idx="5">
                  <c:v>158988.79171049397</c:v>
                </c:pt>
                <c:pt idx="6">
                  <c:v>159360.94185362899</c:v>
                </c:pt>
                <c:pt idx="7">
                  <c:v>160561.86324754599</c:v>
                </c:pt>
                <c:pt idx="8">
                  <c:v>162630.35676872497</c:v>
                </c:pt>
                <c:pt idx="9">
                  <c:v>163451.09940734704</c:v>
                </c:pt>
                <c:pt idx="10">
                  <c:v>164296.22727753903</c:v>
                </c:pt>
                <c:pt idx="11">
                  <c:v>166000.07141195599</c:v>
                </c:pt>
                <c:pt idx="12">
                  <c:v>165939.37447350798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D93-495B-A635-1C2088D832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комфорт</c:v>
                </c:pt>
              </c:strCache>
            </c:strRef>
          </c:tx>
          <c:spPr>
            <a:ln>
              <a:solidFill>
                <a:srgbClr val="5A80AD">
                  <a:alpha val="29804"/>
                </a:srgbClr>
              </a:solidFill>
            </a:ln>
          </c:spPr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42339</c:v>
                </c:pt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</c:numCache>
            </c:numRef>
          </c:cat>
          <c:val>
            <c:numRef>
              <c:f>Лист1!$D$2:$D$14</c:f>
              <c:numCache>
                <c:formatCode>0</c:formatCode>
                <c:ptCount val="13"/>
                <c:pt idx="0">
                  <c:v>104001.95423467598</c:v>
                </c:pt>
                <c:pt idx="1">
                  <c:v>105577.26871335899</c:v>
                </c:pt>
                <c:pt idx="2">
                  <c:v>104662.21705892298</c:v>
                </c:pt>
                <c:pt idx="3">
                  <c:v>103972.923449954</c:v>
                </c:pt>
                <c:pt idx="4">
                  <c:v>102505.52740175501</c:v>
                </c:pt>
                <c:pt idx="5">
                  <c:v>102585.89239559899</c:v>
                </c:pt>
                <c:pt idx="6">
                  <c:v>103018.33133088601</c:v>
                </c:pt>
                <c:pt idx="7">
                  <c:v>104353.495327909</c:v>
                </c:pt>
                <c:pt idx="8">
                  <c:v>105133.590206165</c:v>
                </c:pt>
                <c:pt idx="9">
                  <c:v>104561.28043570599</c:v>
                </c:pt>
                <c:pt idx="10">
                  <c:v>104780.66148404201</c:v>
                </c:pt>
                <c:pt idx="11">
                  <c:v>106864.27105769202</c:v>
                </c:pt>
                <c:pt idx="12">
                  <c:v>107263.632235791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D93-495B-A635-1C2088D832C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эконом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[$-419]mmmm\ yyyy;@</c:formatCode>
                <c:ptCount val="13"/>
                <c:pt idx="0">
                  <c:v>42339</c:v>
                </c:pt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</c:numCache>
            </c:numRef>
          </c:cat>
          <c:val>
            <c:numRef>
              <c:f>Лист1!$E$2:$E$14</c:f>
              <c:numCache>
                <c:formatCode>0</c:formatCode>
                <c:ptCount val="13"/>
                <c:pt idx="0">
                  <c:v>76543.950325256301</c:v>
                </c:pt>
                <c:pt idx="1">
                  <c:v>76591.861340799296</c:v>
                </c:pt>
                <c:pt idx="2">
                  <c:v>76033.641516974094</c:v>
                </c:pt>
                <c:pt idx="3">
                  <c:v>75012.21598726559</c:v>
                </c:pt>
                <c:pt idx="4">
                  <c:v>75007.920940074779</c:v>
                </c:pt>
                <c:pt idx="5">
                  <c:v>76487.444783214989</c:v>
                </c:pt>
                <c:pt idx="6">
                  <c:v>77030.207737629084</c:v>
                </c:pt>
                <c:pt idx="7">
                  <c:v>78066.46605525598</c:v>
                </c:pt>
                <c:pt idx="8">
                  <c:v>78645.398564571806</c:v>
                </c:pt>
                <c:pt idx="9">
                  <c:v>78933.745905153832</c:v>
                </c:pt>
                <c:pt idx="10">
                  <c:v>79025.862897367086</c:v>
                </c:pt>
                <c:pt idx="11">
                  <c:v>78915.344426318712</c:v>
                </c:pt>
                <c:pt idx="12">
                  <c:v>79682.021638471095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D93-495B-A635-1C2088D832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1818632"/>
        <c:axId val="241832744"/>
      </c:lineChart>
      <c:dateAx>
        <c:axId val="241818632"/>
        <c:scaling>
          <c:orientation val="minMax"/>
        </c:scaling>
        <c:delete val="0"/>
        <c:axPos val="b"/>
        <c:numFmt formatCode="mmm\ yy" sourceLinked="0"/>
        <c:majorTickMark val="out"/>
        <c:minorTickMark val="none"/>
        <c:tickLblPos val="nextTo"/>
        <c:crossAx val="241832744"/>
        <c:crossesAt val="50000"/>
        <c:auto val="1"/>
        <c:lblOffset val="100"/>
        <c:baseTimeUnit val="months"/>
        <c:majorUnit val="3"/>
        <c:majorTimeUnit val="months"/>
      </c:dateAx>
      <c:valAx>
        <c:axId val="241832744"/>
        <c:scaling>
          <c:orientation val="minMax"/>
          <c:max val="350000"/>
          <c:min val="50000"/>
        </c:scaling>
        <c:delete val="0"/>
        <c:axPos val="l"/>
        <c:numFmt formatCode="#,##0" sourceLinked="0"/>
        <c:majorTickMark val="out"/>
        <c:minorTickMark val="none"/>
        <c:tickLblPos val="nextTo"/>
        <c:crossAx val="241818632"/>
        <c:crossesAt val="42156"/>
        <c:crossBetween val="between"/>
        <c:majorUnit val="60000"/>
        <c:minorUnit val="5000"/>
      </c:valAx>
      <c:spPr>
        <a:noFill/>
      </c:spPr>
    </c:plotArea>
    <c:legend>
      <c:legendPos val="r"/>
      <c:layout>
        <c:manualLayout>
          <c:xMode val="edge"/>
          <c:yMode val="edge"/>
          <c:x val="0.1903790650406498"/>
          <c:y val="0"/>
          <c:w val="0.66079166666666966"/>
          <c:h val="0.1495454545454554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666024963314134E-2"/>
          <c:y val="2.974069875506807E-2"/>
          <c:w val="0.92533397503668757"/>
          <c:h val="0.871780793937722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элит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42339</c:v>
                </c:pt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6.8807339449541316E-2</c:v>
                </c:pt>
                <c:pt idx="1">
                  <c:v>6.7567567567567571E-2</c:v>
                </c:pt>
                <c:pt idx="2">
                  <c:v>6.6964285714285712E-2</c:v>
                </c:pt>
                <c:pt idx="3">
                  <c:v>6.6371681415929223E-2</c:v>
                </c:pt>
                <c:pt idx="4">
                  <c:v>6.6079295154185022E-2</c:v>
                </c:pt>
                <c:pt idx="5">
                  <c:v>6.8669527896995722E-2</c:v>
                </c:pt>
                <c:pt idx="6">
                  <c:v>7.2033898305084762E-2</c:v>
                </c:pt>
                <c:pt idx="7">
                  <c:v>6.9672131147540992E-2</c:v>
                </c:pt>
                <c:pt idx="8">
                  <c:v>6.88259109311741E-2</c:v>
                </c:pt>
                <c:pt idx="9">
                  <c:v>6.7729083665338655E-2</c:v>
                </c:pt>
                <c:pt idx="10">
                  <c:v>6.5891472868217074E-2</c:v>
                </c:pt>
                <c:pt idx="11">
                  <c:v>6.4393939393939406E-2</c:v>
                </c:pt>
                <c:pt idx="12">
                  <c:v>6.1818181818181835E-2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EA-4001-8879-64DD4596DF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бизнес</c:v>
                </c:pt>
              </c:strCache>
            </c:strRef>
          </c:tx>
          <c:spPr>
            <a:solidFill>
              <a:srgbClr val="5A80AD">
                <a:alpha val="70000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42339</c:v>
                </c:pt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</c:numCache>
            </c:numRef>
          </c:cat>
          <c:val>
            <c:numRef>
              <c:f>Лист1!$C$2:$C$14</c:f>
              <c:numCache>
                <c:formatCode>0.00%</c:formatCode>
                <c:ptCount val="13"/>
                <c:pt idx="0">
                  <c:v>0.23853211009174316</c:v>
                </c:pt>
                <c:pt idx="1">
                  <c:v>0.24324324324324328</c:v>
                </c:pt>
                <c:pt idx="2">
                  <c:v>0.24553571428571427</c:v>
                </c:pt>
                <c:pt idx="3">
                  <c:v>0.24336283185840712</c:v>
                </c:pt>
                <c:pt idx="4">
                  <c:v>0.24229074889867841</c:v>
                </c:pt>
                <c:pt idx="5">
                  <c:v>0.23605150214592274</c:v>
                </c:pt>
                <c:pt idx="6">
                  <c:v>0.2288135593220339</c:v>
                </c:pt>
                <c:pt idx="7">
                  <c:v>0.22950819672131151</c:v>
                </c:pt>
                <c:pt idx="8">
                  <c:v>0.23076923076923084</c:v>
                </c:pt>
                <c:pt idx="9">
                  <c:v>0.23107569721115537</c:v>
                </c:pt>
                <c:pt idx="10">
                  <c:v>0.23255813953488375</c:v>
                </c:pt>
                <c:pt idx="11">
                  <c:v>0.24621212121212127</c:v>
                </c:pt>
                <c:pt idx="12">
                  <c:v>0.22545454545454544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EA-4001-8879-64DD4596DF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комфорт</c:v>
                </c:pt>
              </c:strCache>
            </c:strRef>
          </c:tx>
          <c:spPr>
            <a:solidFill>
              <a:srgbClr val="5A80AD">
                <a:alpha val="30196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42339</c:v>
                </c:pt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</c:numCache>
            </c:numRef>
          </c:cat>
          <c:val>
            <c:numRef>
              <c:f>Лист1!$D$2:$D$14</c:f>
              <c:numCache>
                <c:formatCode>0.00%</c:formatCode>
                <c:ptCount val="13"/>
                <c:pt idx="0">
                  <c:v>0.49541284403669733</c:v>
                </c:pt>
                <c:pt idx="1">
                  <c:v>0.49549549549549554</c:v>
                </c:pt>
                <c:pt idx="2">
                  <c:v>0.4955357142857143</c:v>
                </c:pt>
                <c:pt idx="3">
                  <c:v>0.4955752212389381</c:v>
                </c:pt>
                <c:pt idx="4">
                  <c:v>0.4977973568281937</c:v>
                </c:pt>
                <c:pt idx="5">
                  <c:v>0.50214592274678127</c:v>
                </c:pt>
                <c:pt idx="6">
                  <c:v>0.49576271186440696</c:v>
                </c:pt>
                <c:pt idx="7">
                  <c:v>0.50409836065573754</c:v>
                </c:pt>
                <c:pt idx="8">
                  <c:v>0.50607287449392713</c:v>
                </c:pt>
                <c:pt idx="9">
                  <c:v>0.50996015936254968</c:v>
                </c:pt>
                <c:pt idx="10">
                  <c:v>0.51162790697674421</c:v>
                </c:pt>
                <c:pt idx="11">
                  <c:v>0.50378787878787878</c:v>
                </c:pt>
                <c:pt idx="12">
                  <c:v>0.51999999999999991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EA-4001-8879-64DD4596DF1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эконом</c:v>
                </c:pt>
              </c:strCache>
            </c:strRef>
          </c:tx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42339</c:v>
                </c:pt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</c:numCache>
            </c:numRef>
          </c:cat>
          <c:val>
            <c:numRef>
              <c:f>Лист1!$E$2:$E$14</c:f>
              <c:numCache>
                <c:formatCode>0.00%</c:formatCode>
                <c:ptCount val="13"/>
                <c:pt idx="0">
                  <c:v>0.19724770642201839</c:v>
                </c:pt>
                <c:pt idx="1">
                  <c:v>0.19369369369369369</c:v>
                </c:pt>
                <c:pt idx="2">
                  <c:v>0.19196428571428575</c:v>
                </c:pt>
                <c:pt idx="3">
                  <c:v>0.19469026548672569</c:v>
                </c:pt>
                <c:pt idx="4">
                  <c:v>0.19383259911894271</c:v>
                </c:pt>
                <c:pt idx="5">
                  <c:v>0.19313304721030042</c:v>
                </c:pt>
                <c:pt idx="6">
                  <c:v>0.20338983050847462</c:v>
                </c:pt>
                <c:pt idx="7">
                  <c:v>0.19672131147540986</c:v>
                </c:pt>
                <c:pt idx="8">
                  <c:v>0.19433198380566805</c:v>
                </c:pt>
                <c:pt idx="9">
                  <c:v>0.1912350597609562</c:v>
                </c:pt>
                <c:pt idx="10">
                  <c:v>0.18992248062015507</c:v>
                </c:pt>
                <c:pt idx="11">
                  <c:v>0.18560606060606064</c:v>
                </c:pt>
                <c:pt idx="12">
                  <c:v>0.19272727272727275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5EA-4001-8879-64DD4596D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69104"/>
        <c:axId val="6571064"/>
      </c:barChart>
      <c:dateAx>
        <c:axId val="6569104"/>
        <c:scaling>
          <c:orientation val="minMax"/>
        </c:scaling>
        <c:delete val="0"/>
        <c:axPos val="b"/>
        <c:numFmt formatCode="mmm\ yy" sourceLinked="0"/>
        <c:majorTickMark val="none"/>
        <c:minorTickMark val="none"/>
        <c:tickLblPos val="nextTo"/>
        <c:crossAx val="6571064"/>
        <c:crosses val="autoZero"/>
        <c:auto val="1"/>
        <c:lblOffset val="100"/>
        <c:baseTimeUnit val="months"/>
      </c:dateAx>
      <c:valAx>
        <c:axId val="6571064"/>
        <c:scaling>
          <c:orientation val="minMax"/>
          <c:max val="0.60000000000000064"/>
          <c:min val="0"/>
        </c:scaling>
        <c:delete val="0"/>
        <c:axPos val="l"/>
        <c:numFmt formatCode="0%" sourceLinked="0"/>
        <c:majorTickMark val="none"/>
        <c:minorTickMark val="none"/>
        <c:tickLblPos val="nextTo"/>
        <c:crossAx val="6569104"/>
        <c:crosses val="autoZero"/>
        <c:crossBetween val="between"/>
        <c:majorUnit val="0.1"/>
      </c:valAx>
    </c:plotArea>
    <c:legend>
      <c:legendPos val="r"/>
      <c:layout>
        <c:manualLayout>
          <c:xMode val="edge"/>
          <c:yMode val="edge"/>
          <c:x val="0.21365640782828291"/>
          <c:y val="0"/>
          <c:w val="0.6046060606060607"/>
          <c:h val="0.1361379310344829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756944444444578E-2"/>
          <c:y val="2.9740900383141772E-2"/>
          <c:w val="0.92533397503668757"/>
          <c:h val="0.871780793937722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сданные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42339</c:v>
                </c:pt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</c:numCache>
            </c:num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0.17460317460317457</c:v>
                </c:pt>
                <c:pt idx="1">
                  <c:v>0.1916932907348243</c:v>
                </c:pt>
                <c:pt idx="2">
                  <c:v>0.20189274447949529</c:v>
                </c:pt>
                <c:pt idx="3">
                  <c:v>0.19814241486068115</c:v>
                </c:pt>
                <c:pt idx="4">
                  <c:v>0.20183486238532114</c:v>
                </c:pt>
                <c:pt idx="5">
                  <c:v>0.20121951219512199</c:v>
                </c:pt>
                <c:pt idx="6">
                  <c:v>0.20543806646525684</c:v>
                </c:pt>
                <c:pt idx="7">
                  <c:v>0.23214285714285718</c:v>
                </c:pt>
                <c:pt idx="8">
                  <c:v>0.23668639053254442</c:v>
                </c:pt>
                <c:pt idx="9">
                  <c:v>0.23255813953488375</c:v>
                </c:pt>
                <c:pt idx="10">
                  <c:v>0.2427745664739884</c:v>
                </c:pt>
                <c:pt idx="11">
                  <c:v>0.25947521865889212</c:v>
                </c:pt>
                <c:pt idx="12">
                  <c:v>0.28115942028985513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7D-420A-8AD1-3A41276C38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сданные</c:v>
                </c:pt>
              </c:strCache>
            </c:strRef>
          </c:tx>
          <c:spPr>
            <a:solidFill>
              <a:srgbClr val="5A80AD">
                <a:alpha val="70000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42339</c:v>
                </c:pt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</c:numCache>
            </c:numRef>
          </c:cat>
          <c:val>
            <c:numRef>
              <c:f>Лист1!$C$2:$C$14</c:f>
              <c:numCache>
                <c:formatCode>0.00%</c:formatCode>
                <c:ptCount val="13"/>
                <c:pt idx="0">
                  <c:v>9.5238095238095247E-2</c:v>
                </c:pt>
                <c:pt idx="1">
                  <c:v>0.10543130990415336</c:v>
                </c:pt>
                <c:pt idx="2">
                  <c:v>0.10094637223974762</c:v>
                </c:pt>
                <c:pt idx="3">
                  <c:v>9.9071207430340535E-2</c:v>
                </c:pt>
                <c:pt idx="4">
                  <c:v>9.7859327217125383E-2</c:v>
                </c:pt>
                <c:pt idx="5">
                  <c:v>9.7560975609756129E-2</c:v>
                </c:pt>
                <c:pt idx="6">
                  <c:v>9.6676737160120832E-2</c:v>
                </c:pt>
                <c:pt idx="7">
                  <c:v>8.928571428571426E-2</c:v>
                </c:pt>
                <c:pt idx="8">
                  <c:v>8.8757396449704165E-2</c:v>
                </c:pt>
                <c:pt idx="9">
                  <c:v>9.3023255813953501E-2</c:v>
                </c:pt>
                <c:pt idx="10">
                  <c:v>9.5375722543352609E-2</c:v>
                </c:pt>
                <c:pt idx="11">
                  <c:v>9.3294460641399471E-2</c:v>
                </c:pt>
                <c:pt idx="12">
                  <c:v>9.2753623188405798E-2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7D-420A-8AD1-3A41276C38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rgbClr val="5A80AD">
                <a:alpha val="30196"/>
              </a:srgbClr>
            </a:solidFill>
          </c:spPr>
          <c:invertIfNegative val="0"/>
          <c:cat>
            <c:numRef>
              <c:f>Лист1!$A$2:$A$14</c:f>
              <c:numCache>
                <c:formatCode>[$-419]mmmm\ yyyy;@</c:formatCode>
                <c:ptCount val="13"/>
                <c:pt idx="0">
                  <c:v>42339</c:v>
                </c:pt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</c:numCache>
            </c:numRef>
          </c:cat>
          <c:val>
            <c:numRef>
              <c:f>Лист1!$D$2:$D$14</c:f>
              <c:numCache>
                <c:formatCode>0.00%</c:formatCode>
                <c:ptCount val="13"/>
                <c:pt idx="0">
                  <c:v>0.73015873015873023</c:v>
                </c:pt>
                <c:pt idx="1">
                  <c:v>0.7028753993610225</c:v>
                </c:pt>
                <c:pt idx="2">
                  <c:v>0.69716088328075709</c:v>
                </c:pt>
                <c:pt idx="3">
                  <c:v>0.70278637770897834</c:v>
                </c:pt>
                <c:pt idx="4">
                  <c:v>0.70030581039755369</c:v>
                </c:pt>
                <c:pt idx="5">
                  <c:v>0.70121951219512202</c:v>
                </c:pt>
                <c:pt idx="6">
                  <c:v>0.69788519637462243</c:v>
                </c:pt>
                <c:pt idx="7">
                  <c:v>0.67857142857142871</c:v>
                </c:pt>
                <c:pt idx="8">
                  <c:v>0.67455621301775159</c:v>
                </c:pt>
                <c:pt idx="9">
                  <c:v>0.67441860465116288</c:v>
                </c:pt>
                <c:pt idx="10">
                  <c:v>0.6618497109826591</c:v>
                </c:pt>
                <c:pt idx="11">
                  <c:v>0.64723032069970854</c:v>
                </c:pt>
                <c:pt idx="12">
                  <c:v>0.62608695652173929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7D-420A-8AD1-3A41276C38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820200"/>
        <c:axId val="241819808"/>
      </c:barChart>
      <c:dateAx>
        <c:axId val="241820200"/>
        <c:scaling>
          <c:orientation val="minMax"/>
        </c:scaling>
        <c:delete val="0"/>
        <c:axPos val="b"/>
        <c:numFmt formatCode="mmm\ yy" sourceLinked="0"/>
        <c:majorTickMark val="none"/>
        <c:minorTickMark val="none"/>
        <c:tickLblPos val="nextTo"/>
        <c:crossAx val="241819808"/>
        <c:crosses val="autoZero"/>
        <c:auto val="1"/>
        <c:lblOffset val="100"/>
        <c:baseTimeUnit val="months"/>
      </c:dateAx>
      <c:valAx>
        <c:axId val="241819808"/>
        <c:scaling>
          <c:orientation val="minMax"/>
          <c:max val="0.8"/>
        </c:scaling>
        <c:delete val="0"/>
        <c:axPos val="l"/>
        <c:numFmt formatCode="0%" sourceLinked="0"/>
        <c:majorTickMark val="none"/>
        <c:minorTickMark val="none"/>
        <c:tickLblPos val="nextTo"/>
        <c:crossAx val="241820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877667297979802"/>
          <c:y val="0"/>
          <c:w val="0.56719554924242421"/>
          <c:h val="0.102705092592592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39834039655091"/>
          <c:y val="3.6711490226844492E-3"/>
          <c:w val="0.83277340799832611"/>
          <c:h val="0.880553501718199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A80AD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сданы</c:v>
                </c:pt>
                <c:pt idx="1">
                  <c:v>2 полуг. 2016</c:v>
                </c:pt>
                <c:pt idx="2">
                  <c:v>1 полуг. 2017</c:v>
                </c:pt>
                <c:pt idx="3">
                  <c:v>2 полуг. 2017</c:v>
                </c:pt>
                <c:pt idx="4">
                  <c:v>1 полуг. 2018</c:v>
                </c:pt>
                <c:pt idx="5">
                  <c:v>2 полуг. 2018</c:v>
                </c:pt>
                <c:pt idx="6">
                  <c:v>2019</c:v>
                </c:pt>
                <c:pt idx="7">
                  <c:v>2020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0.37391304347826088</c:v>
                </c:pt>
                <c:pt idx="1">
                  <c:v>0.12173913043478263</c:v>
                </c:pt>
                <c:pt idx="2">
                  <c:v>0.10144927536231886</c:v>
                </c:pt>
                <c:pt idx="3">
                  <c:v>0.11884057971014493</c:v>
                </c:pt>
                <c:pt idx="4">
                  <c:v>9.5652173913043523E-2</c:v>
                </c:pt>
                <c:pt idx="5">
                  <c:v>0.12173913043478263</c:v>
                </c:pt>
                <c:pt idx="6">
                  <c:v>5.7971014492753624E-2</c:v>
                </c:pt>
                <c:pt idx="7">
                  <c:v>8.6956521739130471E-3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CF-4700-B33A-881FFB311E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081448"/>
        <c:axId val="205303792"/>
      </c:barChart>
      <c:catAx>
        <c:axId val="244081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5303792"/>
        <c:crosses val="autoZero"/>
        <c:auto val="1"/>
        <c:lblAlgn val="ctr"/>
        <c:lblOffset val="100"/>
        <c:noMultiLvlLbl val="0"/>
      </c:catAx>
      <c:valAx>
        <c:axId val="205303792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crossAx val="244081448"/>
        <c:crosses val="autoZero"/>
        <c:crossBetween val="between"/>
        <c:majorUnit val="0.05"/>
      </c:valAx>
    </c:plotArea>
    <c:plotVisOnly val="1"/>
    <c:dispBlanksAs val="gap"/>
    <c:showDLblsOverMax val="0"/>
  </c:chart>
  <c:txPr>
    <a:bodyPr/>
    <a:lstStyle/>
    <a:p>
      <a:pPr>
        <a:defRPr sz="800">
          <a:latin typeface="PT San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7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9269</CharactersWithSpaces>
  <SharedDoc>false</SharedDoc>
  <HLinks>
    <vt:vector size="6" baseType="variant">
      <vt:variant>
        <vt:i4>3801099</vt:i4>
      </vt:variant>
      <vt:variant>
        <vt:i4>0</vt:i4>
      </vt:variant>
      <vt:variant>
        <vt:i4>0</vt:i4>
      </vt:variant>
      <vt:variant>
        <vt:i4>5</vt:i4>
      </vt:variant>
      <vt:variant>
        <vt:lpwstr>mailto:analitika@bn.ru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Некрасова Галина Вячеславовна</cp:lastModifiedBy>
  <cp:revision>13</cp:revision>
  <dcterms:created xsi:type="dcterms:W3CDTF">2012-07-31T10:06:00Z</dcterms:created>
  <dcterms:modified xsi:type="dcterms:W3CDTF">2016-12-27T16:03:00Z</dcterms:modified>
</cp:coreProperties>
</file>