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Override PartName="/word/drawings/drawing18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16.xml" ContentType="application/vnd.openxmlformats-officedocument.drawingml.chartshapes+xml"/>
  <Override PartName="/word/drawings/drawing17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E" w:rsidRPr="006161C8" w:rsidRDefault="004F06CE" w:rsidP="002F2DCE">
      <w:pPr>
        <w:rPr>
          <w:rFonts w:asciiTheme="minorHAnsi" w:hAnsiTheme="minorHAnsi"/>
          <w:color w:val="333333"/>
          <w:sz w:val="28"/>
          <w:szCs w:val="28"/>
        </w:rPr>
      </w:pPr>
      <w:r w:rsidRPr="006161C8">
        <w:rPr>
          <w:rFonts w:asciiTheme="minorHAnsi" w:hAnsiTheme="minorHAnsi"/>
          <w:b/>
          <w:bCs/>
          <w:color w:val="333333"/>
          <w:sz w:val="28"/>
          <w:szCs w:val="28"/>
        </w:rPr>
        <w:t>Общие тенденции на р</w:t>
      </w:r>
      <w:r w:rsidR="00E06B77" w:rsidRPr="006161C8">
        <w:rPr>
          <w:rFonts w:asciiTheme="minorHAnsi" w:hAnsiTheme="minorHAnsi"/>
          <w:b/>
          <w:bCs/>
          <w:color w:val="333333"/>
          <w:sz w:val="28"/>
          <w:szCs w:val="28"/>
        </w:rPr>
        <w:t>ынк</w:t>
      </w:r>
      <w:r w:rsidRPr="006161C8">
        <w:rPr>
          <w:rFonts w:asciiTheme="minorHAnsi" w:hAnsiTheme="minorHAnsi"/>
          <w:b/>
          <w:bCs/>
          <w:color w:val="333333"/>
          <w:sz w:val="28"/>
          <w:szCs w:val="28"/>
        </w:rPr>
        <w:t>е</w:t>
      </w:r>
      <w:r w:rsidR="002216E0" w:rsidRPr="006161C8">
        <w:rPr>
          <w:rFonts w:asciiTheme="minorHAnsi" w:hAnsiTheme="minorHAnsi"/>
          <w:b/>
          <w:bCs/>
          <w:color w:val="333333"/>
          <w:sz w:val="28"/>
          <w:szCs w:val="28"/>
        </w:rPr>
        <w:t xml:space="preserve"> </w:t>
      </w:r>
      <w:r w:rsidR="006F348E" w:rsidRPr="006161C8">
        <w:rPr>
          <w:rFonts w:asciiTheme="minorHAnsi" w:hAnsiTheme="minorHAnsi"/>
          <w:b/>
          <w:bCs/>
          <w:color w:val="333333"/>
          <w:sz w:val="28"/>
          <w:szCs w:val="28"/>
        </w:rPr>
        <w:t>аренды</w:t>
      </w:r>
      <w:r w:rsidR="002216E0" w:rsidRPr="006161C8">
        <w:rPr>
          <w:rFonts w:asciiTheme="minorHAnsi" w:hAnsiTheme="minorHAnsi"/>
          <w:b/>
          <w:bCs/>
          <w:color w:val="333333"/>
          <w:sz w:val="28"/>
          <w:szCs w:val="28"/>
        </w:rPr>
        <w:t xml:space="preserve"> коммерческой недвижимости </w:t>
      </w:r>
      <w:r w:rsidRPr="006161C8">
        <w:rPr>
          <w:rFonts w:asciiTheme="minorHAnsi" w:hAnsiTheme="minorHAnsi"/>
          <w:b/>
          <w:bCs/>
          <w:color w:val="333333"/>
          <w:sz w:val="28"/>
          <w:szCs w:val="28"/>
        </w:rPr>
        <w:t>Санкт-Петербурга</w:t>
      </w:r>
      <w:r w:rsidR="002F2DCE" w:rsidRPr="006161C8">
        <w:rPr>
          <w:rFonts w:asciiTheme="minorHAnsi" w:hAnsiTheme="minorHAnsi"/>
          <w:b/>
          <w:bCs/>
          <w:color w:val="333333"/>
          <w:sz w:val="28"/>
          <w:szCs w:val="28"/>
        </w:rPr>
        <w:t xml:space="preserve">. </w:t>
      </w:r>
      <w:proofErr w:type="gramStart"/>
      <w:r w:rsidR="002216E0" w:rsidRPr="006161C8"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>I</w:t>
      </w:r>
      <w:r w:rsidR="00B669E7" w:rsidRPr="006161C8">
        <w:rPr>
          <w:rFonts w:asciiTheme="minorHAnsi" w:hAnsiTheme="minorHAnsi"/>
          <w:b/>
          <w:bCs/>
          <w:color w:val="333333"/>
          <w:sz w:val="28"/>
          <w:szCs w:val="28"/>
          <w:lang w:val="en-US"/>
        </w:rPr>
        <w:t>V</w:t>
      </w:r>
      <w:r w:rsidR="002216E0" w:rsidRPr="006161C8">
        <w:rPr>
          <w:rFonts w:asciiTheme="minorHAnsi" w:hAnsiTheme="minorHAnsi"/>
          <w:b/>
          <w:bCs/>
          <w:color w:val="333333"/>
          <w:sz w:val="28"/>
          <w:szCs w:val="28"/>
        </w:rPr>
        <w:t xml:space="preserve"> квартал</w:t>
      </w:r>
      <w:r w:rsidR="002F2DCE" w:rsidRPr="006161C8">
        <w:rPr>
          <w:rFonts w:asciiTheme="minorHAnsi" w:hAnsiTheme="minorHAnsi"/>
          <w:b/>
          <w:bCs/>
          <w:color w:val="333333"/>
          <w:sz w:val="28"/>
          <w:szCs w:val="28"/>
        </w:rPr>
        <w:t xml:space="preserve"> 201</w:t>
      </w:r>
      <w:r w:rsidR="00BC12D5" w:rsidRPr="00C6352B">
        <w:rPr>
          <w:rFonts w:asciiTheme="minorHAnsi" w:hAnsiTheme="minorHAnsi"/>
          <w:b/>
          <w:bCs/>
          <w:color w:val="333333"/>
          <w:sz w:val="28"/>
          <w:szCs w:val="28"/>
        </w:rPr>
        <w:t>4</w:t>
      </w:r>
      <w:r w:rsidR="002F2DCE" w:rsidRPr="006161C8">
        <w:rPr>
          <w:rFonts w:asciiTheme="minorHAnsi" w:hAnsiTheme="minorHAnsi"/>
          <w:b/>
          <w:bCs/>
          <w:color w:val="333333"/>
          <w:sz w:val="28"/>
          <w:szCs w:val="28"/>
        </w:rPr>
        <w:t xml:space="preserve"> года.</w:t>
      </w:r>
      <w:proofErr w:type="gramEnd"/>
    </w:p>
    <w:p w:rsidR="003B7C2F" w:rsidRPr="00B669E7" w:rsidRDefault="002F2DCE" w:rsidP="003B7C2F">
      <w:pPr>
        <w:rPr>
          <w:rFonts w:asciiTheme="minorHAnsi" w:hAnsiTheme="minorHAnsi"/>
          <w:sz w:val="24"/>
          <w:szCs w:val="24"/>
        </w:rPr>
      </w:pPr>
      <w:r w:rsidRPr="00B669E7">
        <w:rPr>
          <w:rFonts w:asciiTheme="minorHAnsi" w:hAnsiTheme="minorHAnsi"/>
          <w:sz w:val="24"/>
          <w:szCs w:val="24"/>
        </w:rPr>
        <w:t xml:space="preserve">(Мария </w:t>
      </w:r>
      <w:proofErr w:type="spellStart"/>
      <w:r w:rsidRPr="00B669E7">
        <w:rPr>
          <w:rFonts w:asciiTheme="minorHAnsi" w:hAnsiTheme="minorHAnsi"/>
          <w:sz w:val="24"/>
          <w:szCs w:val="24"/>
        </w:rPr>
        <w:t>Бент</w:t>
      </w:r>
      <w:proofErr w:type="spellEnd"/>
      <w:r w:rsidRPr="00B669E7">
        <w:rPr>
          <w:rFonts w:asciiTheme="minorHAnsi" w:hAnsiTheme="minorHAnsi"/>
          <w:sz w:val="24"/>
          <w:szCs w:val="24"/>
        </w:rPr>
        <w:t>, САРН, Групп</w:t>
      </w:r>
      <w:r w:rsidR="002567A3" w:rsidRPr="00B669E7">
        <w:rPr>
          <w:rFonts w:asciiTheme="minorHAnsi" w:hAnsiTheme="minorHAnsi"/>
          <w:sz w:val="24"/>
          <w:szCs w:val="24"/>
        </w:rPr>
        <w:t>а</w:t>
      </w:r>
      <w:r w:rsidRPr="00B669E7">
        <w:rPr>
          <w:rFonts w:asciiTheme="minorHAnsi" w:hAnsiTheme="minorHAnsi"/>
          <w:sz w:val="24"/>
          <w:szCs w:val="24"/>
        </w:rPr>
        <w:t xml:space="preserve"> компаний "Бюллетень Недвижимости")</w:t>
      </w:r>
    </w:p>
    <w:p w:rsidR="002F2DCE" w:rsidRPr="00B669E7" w:rsidRDefault="002F2DCE" w:rsidP="003B7C2F">
      <w:pPr>
        <w:rPr>
          <w:rFonts w:asciiTheme="minorHAnsi" w:hAnsiTheme="minorHAnsi"/>
          <w:sz w:val="24"/>
          <w:szCs w:val="24"/>
        </w:rPr>
      </w:pPr>
      <w:r w:rsidRPr="00B669E7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3B7C2F" w:rsidRPr="00B669E7">
        <w:rPr>
          <w:rFonts w:asciiTheme="minorHAnsi" w:hAnsiTheme="minorHAnsi"/>
          <w:sz w:val="24"/>
          <w:szCs w:val="24"/>
        </w:rPr>
        <w:t>____________________</w:t>
      </w:r>
    </w:p>
    <w:p w:rsidR="00BC12D5" w:rsidRPr="00BC12D5" w:rsidRDefault="00BC12D5" w:rsidP="00BC12D5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bookmarkStart w:id="0" w:name="OLE_LINK5"/>
      <w:r w:rsidRPr="00BC12D5">
        <w:rPr>
          <w:rFonts w:asciiTheme="minorHAnsi" w:eastAsia="+mn-ea" w:hAnsiTheme="minorHAnsi"/>
          <w:noProof/>
          <w:sz w:val="24"/>
          <w:szCs w:val="24"/>
        </w:rPr>
        <w:t xml:space="preserve">Объем предложения коммерческих помещений, предлагаемых в аренду в IV квартале 2014 года, составил 1,8 тысячи адресов, которые были заявлены в рекламу в листингах каталога.  </w:t>
      </w:r>
    </w:p>
    <w:p w:rsidR="00BC12D5" w:rsidRPr="00C6352B" w:rsidRDefault="00BC12D5" w:rsidP="00D10C0B">
      <w:pPr>
        <w:pStyle w:val="Tabledate"/>
        <w:jc w:val="left"/>
        <w:rPr>
          <w:rFonts w:asciiTheme="minorHAnsi" w:eastAsia="+mn-ea" w:hAnsiTheme="minorHAnsi" w:cs="Times New Roman"/>
          <w:i/>
          <w:iCs/>
          <w:noProof/>
          <w:sz w:val="20"/>
          <w:szCs w:val="20"/>
        </w:rPr>
      </w:pPr>
    </w:p>
    <w:p w:rsidR="00D10C0B" w:rsidRPr="00B669E7" w:rsidRDefault="00D10C0B" w:rsidP="00D10C0B">
      <w:pPr>
        <w:pStyle w:val="Tabledate"/>
        <w:jc w:val="left"/>
        <w:rPr>
          <w:rFonts w:asciiTheme="minorHAnsi" w:eastAsia="+mn-ea" w:hAnsiTheme="minorHAnsi" w:cs="Times New Roman"/>
          <w:i/>
          <w:iCs/>
          <w:noProof/>
          <w:sz w:val="20"/>
          <w:szCs w:val="20"/>
        </w:rPr>
      </w:pPr>
      <w:r w:rsidRPr="00B669E7">
        <w:rPr>
          <w:rFonts w:asciiTheme="minorHAnsi" w:eastAsia="+mn-ea" w:hAnsiTheme="minorHAnsi" w:cs="Times New Roman"/>
          <w:i/>
          <w:iCs/>
          <w:noProof/>
          <w:sz w:val="20"/>
          <w:szCs w:val="20"/>
        </w:rPr>
        <w:t>Объем предложения</w:t>
      </w:r>
    </w:p>
    <w:p w:rsidR="00D10C0B" w:rsidRDefault="00BC12D5" w:rsidP="00D10C0B">
      <w:pPr>
        <w:pStyle w:val="Tabledate"/>
        <w:jc w:val="left"/>
        <w:rPr>
          <w:rFonts w:asciiTheme="minorHAnsi" w:hAnsiTheme="minorHAnsi" w:cs="Times New Roman"/>
          <w:noProof/>
          <w:sz w:val="24"/>
          <w:szCs w:val="24"/>
          <w:lang w:val="en-US"/>
        </w:rPr>
      </w:pPr>
      <w:r w:rsidRPr="00BC12D5"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>
            <wp:extent cx="6152515" cy="2076450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C12D5" w:rsidRPr="00BC12D5" w:rsidRDefault="00BC12D5" w:rsidP="00D10C0B">
      <w:pPr>
        <w:pStyle w:val="Tabledate"/>
        <w:jc w:val="left"/>
        <w:rPr>
          <w:rFonts w:asciiTheme="minorHAnsi" w:hAnsiTheme="minorHAnsi" w:cs="Times New Roman"/>
          <w:noProof/>
          <w:sz w:val="24"/>
          <w:szCs w:val="24"/>
          <w:lang w:val="en-US"/>
        </w:rPr>
      </w:pPr>
    </w:p>
    <w:p w:rsidR="00BC12D5" w:rsidRPr="00BC12D5" w:rsidRDefault="00BC12D5" w:rsidP="00BC12D5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proofErr w:type="gramStart"/>
      <w:r w:rsidRPr="00BC12D5">
        <w:rPr>
          <w:rFonts w:asciiTheme="minorHAnsi" w:eastAsia="+mn-ea" w:hAnsiTheme="minorHAnsi"/>
          <w:noProof/>
          <w:sz w:val="24"/>
          <w:szCs w:val="24"/>
        </w:rPr>
        <w:t>В структуре предложения преобладают помещения различного назначения (как правило – это объекты, назначение которых не конкретизировано и они могут быть использованы как под офис, так и под торговлю либо сферу услуг), что составляет 31,1%. Офисные помещения занимают долю в размере 26,8%, помещения, предназначенные для сферы услуг, – 26,3%. Доля площадей, подготовленных под торговые цели, составляет 6,1% от общего объема.</w:t>
      </w:r>
      <w:proofErr w:type="gramEnd"/>
      <w:r w:rsidRPr="00BC12D5">
        <w:rPr>
          <w:rFonts w:asciiTheme="minorHAnsi" w:eastAsia="+mn-ea" w:hAnsiTheme="minorHAnsi"/>
          <w:noProof/>
          <w:sz w:val="24"/>
          <w:szCs w:val="24"/>
        </w:rPr>
        <w:t xml:space="preserve"> Минимальный процент от общего объема занимают здания, участки, объекты, предназначенные под производство, и складские помещения. </w:t>
      </w:r>
    </w:p>
    <w:p w:rsidR="00D10C0B" w:rsidRPr="00B669E7" w:rsidRDefault="00D10C0B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B669E7" w:rsidRPr="00B669E7" w:rsidRDefault="00B669E7" w:rsidP="00B669E7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t>Структура предложения, % от общего объема</w:t>
      </w:r>
    </w:p>
    <w:p w:rsidR="00D10C0B" w:rsidRPr="00B669E7" w:rsidRDefault="00BC12D5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BC12D5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6048375" cy="2016125"/>
            <wp:effectExtent l="19050" t="19050" r="9525" b="3175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FF70F6" w:rsidRDefault="00FF70F6" w:rsidP="00357BF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  <w:lang w:val="en-US"/>
        </w:rPr>
      </w:pPr>
    </w:p>
    <w:p w:rsidR="00357BFF" w:rsidRPr="00357BFF" w:rsidRDefault="00357BFF" w:rsidP="00357BF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57BFF">
        <w:rPr>
          <w:rFonts w:asciiTheme="minorHAnsi" w:eastAsia="+mn-ea" w:hAnsiTheme="minorHAnsi"/>
          <w:noProof/>
          <w:sz w:val="24"/>
          <w:szCs w:val="24"/>
        </w:rPr>
        <w:t xml:space="preserve">В структуре предложения помещений различного назначения по районам лидирующие позиции занимают Центральный, Приморский и Выборгский районы и в сумме составляют 43,7% от всего предложения по данному сегменту. </w:t>
      </w:r>
    </w:p>
    <w:p w:rsidR="00357BFF" w:rsidRPr="00357BFF" w:rsidRDefault="00357BFF" w:rsidP="00357BF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57BFF">
        <w:rPr>
          <w:rFonts w:asciiTheme="minorHAnsi" w:eastAsia="+mn-ea" w:hAnsiTheme="minorHAnsi"/>
          <w:noProof/>
          <w:sz w:val="24"/>
          <w:szCs w:val="24"/>
        </w:rPr>
        <w:t xml:space="preserve">Основной объем офисных помещений на рынке аренды расположен в Центральном районе – 27,8%. </w:t>
      </w:r>
    </w:p>
    <w:p w:rsidR="00357BFF" w:rsidRPr="00357BFF" w:rsidRDefault="00357BFF" w:rsidP="00357BF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57BFF">
        <w:rPr>
          <w:rFonts w:asciiTheme="minorHAnsi" w:eastAsia="+mn-ea" w:hAnsiTheme="minorHAnsi"/>
          <w:noProof/>
          <w:sz w:val="24"/>
          <w:szCs w:val="24"/>
        </w:rPr>
        <w:t xml:space="preserve">Максимальная доля объектов сферы услуг, предлагаемых в аренду, расположена в Центральном, Приморском и Выборгском районах Петербурга, что в сумме составляет 43,3%. </w:t>
      </w:r>
    </w:p>
    <w:p w:rsidR="00357BFF" w:rsidRPr="00357BFF" w:rsidRDefault="00357BFF" w:rsidP="00357BF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57BFF">
        <w:rPr>
          <w:rFonts w:asciiTheme="minorHAnsi" w:eastAsia="+mn-ea" w:hAnsiTheme="minorHAnsi"/>
          <w:noProof/>
          <w:sz w:val="24"/>
          <w:szCs w:val="24"/>
        </w:rPr>
        <w:lastRenderedPageBreak/>
        <w:t xml:space="preserve">Большая часть помещений, предлагаемых под торговлю, находится в Московском и Центральном районах Петербурга – 15,1% и 13,9% соответственно. </w:t>
      </w:r>
    </w:p>
    <w:p w:rsidR="00357BFF" w:rsidRPr="00357BFF" w:rsidRDefault="00357BFF" w:rsidP="00357BF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357BFF">
        <w:rPr>
          <w:rFonts w:asciiTheme="minorHAnsi" w:eastAsia="+mn-ea" w:hAnsiTheme="minorHAnsi"/>
          <w:noProof/>
          <w:sz w:val="24"/>
          <w:szCs w:val="24"/>
        </w:rPr>
        <w:t>Объекты, предназначенные под производство и склады, в основной массе предложения находятся в Красногвардейском, Московском, Невском и Фрунзенском районах (без учета пригородов и Ленобласти).</w:t>
      </w:r>
    </w:p>
    <w:p w:rsidR="0049427F" w:rsidRPr="00B669E7" w:rsidRDefault="0049427F" w:rsidP="0049427F">
      <w:pPr>
        <w:pStyle w:val="Tabledate"/>
        <w:rPr>
          <w:rFonts w:asciiTheme="minorHAnsi" w:eastAsia="+mn-ea" w:hAnsiTheme="minorHAnsi"/>
          <w:i/>
          <w:iCs/>
          <w:noProof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t>Структура предложения по районам, % от общего объема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  <w:sectPr w:rsidR="0049427F" w:rsidRPr="00B669E7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различного назначения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Офисные помещения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B669E7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Default="00357BF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  <w:lang w:val="en-US"/>
        </w:rPr>
      </w:pPr>
      <w:r w:rsidRPr="00357BFF">
        <w:rPr>
          <w:rFonts w:asciiTheme="minorHAnsi" w:eastAsia="+mn-ea" w:hAnsiTheme="minorHAnsi" w:cs="Times New Roman"/>
          <w:noProof/>
          <w:sz w:val="24"/>
          <w:szCs w:val="24"/>
        </w:rPr>
        <w:lastRenderedPageBreak/>
        <w:drawing>
          <wp:inline distT="0" distB="0" distL="0" distR="0">
            <wp:extent cx="3167856" cy="2016422"/>
            <wp:effectExtent l="19050" t="0" r="13494" b="2878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357BFF">
        <w:rPr>
          <w:rFonts w:asciiTheme="minorHAnsi" w:eastAsia="+mn-ea" w:hAnsiTheme="minorHAnsi" w:cs="Times New Roman"/>
          <w:noProof/>
          <w:sz w:val="24"/>
          <w:szCs w:val="24"/>
        </w:rPr>
        <w:drawing>
          <wp:inline distT="0" distB="0" distL="0" distR="0">
            <wp:extent cx="3167856" cy="2016422"/>
            <wp:effectExtent l="19050" t="0" r="13494" b="2878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7BFF" w:rsidRPr="00357BFF" w:rsidRDefault="00357BF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  <w:lang w:val="en-US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  <w:sectPr w:rsidR="0049427F" w:rsidRPr="00B669E7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B669E7">
        <w:rPr>
          <w:rFonts w:asciiTheme="minorHAnsi" w:eastAsia="+mn-ea" w:hAnsiTheme="minorHAnsi"/>
          <w:i/>
          <w:iCs/>
          <w:noProof/>
          <w:sz w:val="24"/>
          <w:szCs w:val="24"/>
        </w:rPr>
        <w:lastRenderedPageBreak/>
        <w:t>Помещения сферы услуг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B669E7">
        <w:rPr>
          <w:rFonts w:asciiTheme="minorHAnsi" w:eastAsia="+mn-ea" w:hAnsiTheme="minorHAnsi"/>
          <w:i/>
          <w:iCs/>
          <w:noProof/>
          <w:sz w:val="24"/>
          <w:szCs w:val="24"/>
        </w:rPr>
        <w:lastRenderedPageBreak/>
        <w:t>Торговые помещения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B669E7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B669E7" w:rsidRDefault="00357BF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  <w:r w:rsidRPr="00357BFF">
        <w:rPr>
          <w:rFonts w:asciiTheme="minorHAnsi" w:eastAsia="+mn-ea" w:hAnsiTheme="minorHAnsi" w:cs="Times New Roman"/>
          <w:noProof/>
          <w:sz w:val="24"/>
          <w:szCs w:val="24"/>
        </w:rPr>
        <w:lastRenderedPageBreak/>
        <w:drawing>
          <wp:inline distT="0" distB="0" distL="0" distR="0">
            <wp:extent cx="3167856" cy="2016422"/>
            <wp:effectExtent l="19050" t="0" r="13494" b="2878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357BFF">
        <w:rPr>
          <w:rFonts w:asciiTheme="minorHAnsi" w:eastAsia="+mn-ea" w:hAnsiTheme="minorHAnsi" w:cs="Times New Roman"/>
          <w:noProof/>
          <w:sz w:val="24"/>
          <w:szCs w:val="24"/>
        </w:rPr>
        <w:drawing>
          <wp:inline distT="0" distB="0" distL="0" distR="0">
            <wp:extent cx="3167856" cy="2016422"/>
            <wp:effectExtent l="19050" t="0" r="13494" b="2878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</w:p>
    <w:p w:rsidR="00FF70F6" w:rsidRPr="00FF70F6" w:rsidRDefault="00FF70F6" w:rsidP="00FF70F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FF70F6">
        <w:rPr>
          <w:rFonts w:asciiTheme="minorHAnsi" w:eastAsia="+mn-ea" w:hAnsiTheme="minorHAnsi"/>
          <w:noProof/>
          <w:sz w:val="24"/>
          <w:szCs w:val="24"/>
        </w:rPr>
        <w:t xml:space="preserve">Максимальное количество предложений коммерческих помещений различного назначения, предлагаемых в аренду, зафиксировано в диапазоне от 20 до 139 кв. м общей площади, что составляет 63,5% от всего объема по указанному типу. </w:t>
      </w:r>
    </w:p>
    <w:p w:rsidR="00FF70F6" w:rsidRPr="00FF70F6" w:rsidRDefault="00FF70F6" w:rsidP="00FF70F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FF70F6">
        <w:rPr>
          <w:rFonts w:asciiTheme="minorHAnsi" w:eastAsia="+mn-ea" w:hAnsiTheme="minorHAnsi"/>
          <w:noProof/>
          <w:sz w:val="24"/>
          <w:szCs w:val="24"/>
        </w:rPr>
        <w:t xml:space="preserve">Площадь офисных помещений в основной массе от 20 до 99 кв. м, что в сумме занимает 52,6% соответственно от всего предложения в данном сегменте. </w:t>
      </w:r>
    </w:p>
    <w:p w:rsidR="00FF70F6" w:rsidRPr="00FF70F6" w:rsidRDefault="00FF70F6" w:rsidP="00FF70F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FF70F6">
        <w:rPr>
          <w:rFonts w:asciiTheme="minorHAnsi" w:eastAsia="+mn-ea" w:hAnsiTheme="minorHAnsi"/>
          <w:noProof/>
          <w:sz w:val="24"/>
          <w:szCs w:val="24"/>
        </w:rPr>
        <w:t xml:space="preserve">Максимальная доля предложения объектов сферы услуг находится в диапазоне общей площади от 20 до 139 кв. м, что составляет 57,3% от всего предложения. </w:t>
      </w:r>
    </w:p>
    <w:p w:rsidR="00FF70F6" w:rsidRPr="00FF70F6" w:rsidRDefault="00FF70F6" w:rsidP="00FF70F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FF70F6">
        <w:rPr>
          <w:rFonts w:asciiTheme="minorHAnsi" w:eastAsia="+mn-ea" w:hAnsiTheme="minorHAnsi"/>
          <w:noProof/>
          <w:sz w:val="24"/>
          <w:szCs w:val="24"/>
        </w:rPr>
        <w:t xml:space="preserve">Площадь торговых помещений, предлагаемых в аренду, в основной массе находится в диапазоне от 20 до 99 кв. м, что занимает долю в размере 40,1% от предложения по данному сегменту. </w:t>
      </w:r>
    </w:p>
    <w:p w:rsidR="00B36AB4" w:rsidRPr="00B669E7" w:rsidRDefault="00B36AB4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t>Диапазон площади (кв. м.), % от общего объема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  <w:sectPr w:rsidR="0049427F" w:rsidRPr="00B669E7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различного назначения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Офисные помещения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B669E7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B669E7" w:rsidRDefault="00FF70F6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FF70F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3200400" cy="1762125"/>
            <wp:effectExtent l="19050" t="0" r="1905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9427F" w:rsidRPr="00B669E7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t xml:space="preserve"> </w:t>
      </w:r>
      <w:r w:rsidRPr="00FF70F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181350" cy="1781175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9427F" w:rsidRPr="00B669E7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  <w:sectPr w:rsidR="0049427F" w:rsidRPr="00B669E7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сферы услуг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Торговые помещения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B669E7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B669E7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t xml:space="preserve"> </w:t>
      </w:r>
      <w:r w:rsidR="00FF70F6" w:rsidRPr="00FF70F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238500" cy="1819275"/>
            <wp:effectExtent l="19050" t="0" r="190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F70F6" w:rsidRPr="00FF70F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276600" cy="1743075"/>
            <wp:effectExtent l="19050" t="0" r="19050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427F" w:rsidRPr="00B669E7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703031" w:rsidRPr="00703031" w:rsidRDefault="00703031" w:rsidP="00703031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proofErr w:type="gramStart"/>
      <w:r w:rsidRPr="00703031">
        <w:rPr>
          <w:rFonts w:asciiTheme="minorHAnsi" w:eastAsia="+mn-ea" w:hAnsiTheme="minorHAnsi"/>
          <w:noProof/>
          <w:sz w:val="24"/>
          <w:szCs w:val="24"/>
        </w:rPr>
        <w:t>Средняя площадь коммерческих помещений (без учета зданий и производственно-складских объектов) в IV квартале 2014 года составила 142,9 кв. м. За рассматриваемый период изменений средней площади объектов практически не наблюдалось, в III квартале этого же года данный показатель был 146,2 кв. м. Минимальный показатель площади у офисных и торговых помещений – 116,6 кв. м и 109,1 кв. м, максимальный у объектов сферы</w:t>
      </w:r>
      <w:proofErr w:type="gramEnd"/>
      <w:r w:rsidRPr="00703031">
        <w:rPr>
          <w:rFonts w:asciiTheme="minorHAnsi" w:eastAsia="+mn-ea" w:hAnsiTheme="minorHAnsi"/>
          <w:noProof/>
          <w:sz w:val="24"/>
          <w:szCs w:val="24"/>
        </w:rPr>
        <w:t xml:space="preserve"> услуг – 200 кв. м. </w:t>
      </w:r>
    </w:p>
    <w:p w:rsidR="00703031" w:rsidRPr="00703031" w:rsidRDefault="00703031" w:rsidP="00703031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703031">
        <w:rPr>
          <w:rFonts w:asciiTheme="minorHAnsi" w:eastAsia="+mn-ea" w:hAnsiTheme="minorHAnsi"/>
          <w:noProof/>
          <w:sz w:val="24"/>
          <w:szCs w:val="24"/>
        </w:rPr>
        <w:t xml:space="preserve">Площадь объектов производственно-складского назначения на конец квартала составляет 703,9 кв. м (от 10 до 15 000 кв. м), отдельно стоящие здания в общей массе предлагаются в среднем площадью 1 019,4 кв. м (от 55 до 5 000 кв. м). </w:t>
      </w:r>
    </w:p>
    <w:p w:rsidR="00703031" w:rsidRPr="00703031" w:rsidRDefault="00703031" w:rsidP="00703031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703031">
        <w:rPr>
          <w:rFonts w:asciiTheme="minorHAnsi" w:eastAsia="+mn-ea" w:hAnsiTheme="minorHAnsi"/>
          <w:noProof/>
          <w:sz w:val="24"/>
          <w:szCs w:val="24"/>
        </w:rPr>
        <w:t>За прошедший квартал минимальная площадь помещения, предлагаемого в аренду, – это место под банкомат или кофейный аппарат, площадью 1 кв. м, в помещении ярмарки «Юнона» на проспекте Маршала Казакова, 35 в Красносельском районе.</w:t>
      </w:r>
    </w:p>
    <w:p w:rsidR="00703031" w:rsidRPr="00703031" w:rsidRDefault="00703031" w:rsidP="00703031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703031">
        <w:rPr>
          <w:rFonts w:asciiTheme="minorHAnsi" w:eastAsia="+mn-ea" w:hAnsiTheme="minorHAnsi"/>
          <w:noProof/>
          <w:sz w:val="24"/>
          <w:szCs w:val="24"/>
        </w:rPr>
        <w:t xml:space="preserve">Максимальным по площади являются охраняемые складские помещения, расположенные в пос. Тельмана Тосненского района Ленобласти, общей площадью 15 тыс. кв. м. 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t>Средняя площадь, кв. м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  <w:sectPr w:rsidR="0049427F" w:rsidRPr="00B669E7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различного назначения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Офисные помещения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  <w:sectPr w:rsidR="0049427F" w:rsidRPr="00B669E7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B669E7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t xml:space="preserve"> </w:t>
      </w:r>
      <w:r w:rsidR="00703031" w:rsidRPr="00703031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335" cy="1584175"/>
            <wp:effectExtent l="19050" t="0" r="23665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03031" w:rsidRPr="00703031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335" cy="1584176"/>
            <wp:effectExtent l="19050" t="0" r="23665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 w:cs="Times New Roman"/>
          <w:noProof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  <w:sectPr w:rsidR="0049427F" w:rsidRPr="00B669E7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B669E7">
        <w:rPr>
          <w:rFonts w:asciiTheme="minorHAnsi" w:eastAsia="+mn-ea" w:hAnsiTheme="minorHAnsi"/>
          <w:i/>
          <w:iCs/>
          <w:noProof/>
          <w:sz w:val="24"/>
          <w:szCs w:val="24"/>
        </w:rPr>
        <w:lastRenderedPageBreak/>
        <w:t>Помещения сферы услуг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B669E7">
        <w:rPr>
          <w:rFonts w:asciiTheme="minorHAnsi" w:eastAsia="+mn-ea" w:hAnsiTheme="minorHAnsi"/>
          <w:i/>
          <w:iCs/>
          <w:noProof/>
          <w:sz w:val="24"/>
          <w:szCs w:val="24"/>
        </w:rPr>
        <w:lastRenderedPageBreak/>
        <w:t>Торговые помещения</w:t>
      </w: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sectPr w:rsidR="0049427F" w:rsidRPr="00B669E7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B669E7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t xml:space="preserve"> </w:t>
      </w:r>
      <w:r w:rsidR="00782B86" w:rsidRPr="00782B8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335" cy="1584175"/>
            <wp:effectExtent l="19050" t="0" r="23665" b="0"/>
            <wp:docPr id="1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82B86" w:rsidRPr="00782B8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335" cy="1584176"/>
            <wp:effectExtent l="19050" t="0" r="23665" b="0"/>
            <wp:docPr id="37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782B86" w:rsidRPr="00782B86" w:rsidRDefault="00782B86" w:rsidP="00782B8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782B86">
        <w:rPr>
          <w:rFonts w:asciiTheme="minorHAnsi" w:eastAsia="+mn-ea" w:hAnsiTheme="minorHAnsi"/>
          <w:noProof/>
          <w:sz w:val="24"/>
          <w:szCs w:val="24"/>
        </w:rPr>
        <w:t xml:space="preserve">Самыми дорогими на рынке коммерческой недвижимости по стоимости квадратного метра являются торговые помещения и объекты сферы услуг, цена аренды на конец квартала составила 1,3 тыс. и 1,4 тыс. руб. за кв. м в месяц. Средняя цена аренды офисов – 893 руб. за кв. м, помещения различного назначения предлагались  по 1,2 тыс. руб. за кв. м в месяц, в зависимости от месторасположения, площади и состояния. </w:t>
      </w:r>
    </w:p>
    <w:p w:rsidR="00782B86" w:rsidRPr="00782B86" w:rsidRDefault="00782B86" w:rsidP="00782B8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782B86">
        <w:rPr>
          <w:rFonts w:asciiTheme="minorHAnsi" w:eastAsia="+mn-ea" w:hAnsiTheme="minorHAnsi"/>
          <w:noProof/>
          <w:sz w:val="24"/>
          <w:szCs w:val="24"/>
        </w:rPr>
        <w:t>Наибольший процент изменения за год показали помещения торгового назначения, средняя цена предложения увеличилась на 8,9% (в I кв. 2014 года цена составляла 1,3 тыс. руб.  за кв. м в месяц). Сфера услуг и офисные помещения показали повышение арендной платы на 0,6% и 1,2% соответственно. Изменение на рынке аренды помещений различного назначения  составило минус 4%.</w:t>
      </w: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t xml:space="preserve">Цена, руб./кв. м. в месяц 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  <w:sectPr w:rsidR="0049427F" w:rsidRPr="00B669E7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различного назначения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Офисные помещения</w:t>
      </w: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sectPr w:rsidR="0049427F" w:rsidRPr="00B669E7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B669E7" w:rsidRDefault="00782B86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782B8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3024335" cy="1584175"/>
            <wp:effectExtent l="19050" t="0" r="23665" b="0"/>
            <wp:docPr id="3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9427F" w:rsidRPr="00B669E7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t xml:space="preserve"> </w:t>
      </w:r>
      <w:r w:rsidRPr="00782B8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335" cy="1584175"/>
            <wp:effectExtent l="19050" t="0" r="23665" b="0"/>
            <wp:docPr id="3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4"/>
          <w:szCs w:val="24"/>
        </w:rPr>
        <w:sectPr w:rsidR="0049427F" w:rsidRPr="00B669E7" w:rsidSect="003318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Помещения сферы услуг</w:t>
      </w: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lastRenderedPageBreak/>
        <w:t>Торговые помещения</w:t>
      </w: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sectPr w:rsidR="0049427F" w:rsidRPr="00B669E7" w:rsidSect="0049427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  <w:r w:rsidRPr="00B669E7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lastRenderedPageBreak/>
        <w:t xml:space="preserve"> </w:t>
      </w:r>
      <w:r w:rsidR="00782B86" w:rsidRPr="00782B8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335" cy="1584175"/>
            <wp:effectExtent l="19050" t="0" r="23665" b="0"/>
            <wp:docPr id="4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782B86" w:rsidRPr="00782B86">
        <w:rPr>
          <w:rFonts w:asciiTheme="minorHAnsi" w:eastAsia="Calibri" w:hAnsiTheme="minorHAnsi" w:cs="Times New Roman"/>
          <w:noProof/>
          <w:color w:val="auto"/>
          <w:sz w:val="24"/>
          <w:szCs w:val="24"/>
        </w:rPr>
        <w:drawing>
          <wp:inline distT="0" distB="0" distL="0" distR="0">
            <wp:extent cx="3024335" cy="1584175"/>
            <wp:effectExtent l="19050" t="0" r="23665" b="0"/>
            <wp:docPr id="4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782B86" w:rsidRPr="00782B86" w:rsidRDefault="00782B86" w:rsidP="00782B8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782B86">
        <w:rPr>
          <w:rFonts w:asciiTheme="minorHAnsi" w:eastAsia="+mn-ea" w:hAnsiTheme="minorHAnsi"/>
          <w:noProof/>
          <w:sz w:val="24"/>
          <w:szCs w:val="24"/>
        </w:rPr>
        <w:t xml:space="preserve">По месторасположению офисных помещений самыми дорогим являются Центральный и Петроградский районы Петербурга, где средняя цена аренды в месяц составляет 1–1,1 тыс. руб. за кв. м. Недорогое предложение офисов – в Красногвардейском, Красносельском и Фрунзенском районах – 650-670 руб. за кв. м в месяц, в зависимости от месторасположения, площади и состояния. </w:t>
      </w:r>
    </w:p>
    <w:p w:rsidR="00782B86" w:rsidRPr="00782B86" w:rsidRDefault="00782B86" w:rsidP="00782B8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r w:rsidRPr="00782B86">
        <w:rPr>
          <w:rFonts w:asciiTheme="minorHAnsi" w:eastAsia="+mn-ea" w:hAnsiTheme="minorHAnsi"/>
          <w:noProof/>
          <w:sz w:val="24"/>
          <w:szCs w:val="24"/>
        </w:rPr>
        <w:t>Дорогие торговые площади расположены в Центральном и Московском районах – 1,5 тыс. руб. за кв. м в месяц. Недорогие по стоимости аренды объекты находятся в Красногвардейском районе, цена предложения  в среднем 966 руб. за кв. м в месяц.</w:t>
      </w:r>
    </w:p>
    <w:p w:rsidR="00782B86" w:rsidRPr="00782B86" w:rsidRDefault="00782B86" w:rsidP="00782B86">
      <w:pPr>
        <w:pStyle w:val="Tabledate"/>
        <w:jc w:val="left"/>
        <w:rPr>
          <w:rFonts w:asciiTheme="minorHAnsi" w:eastAsia="+mn-ea" w:hAnsiTheme="minorHAnsi"/>
          <w:noProof/>
          <w:sz w:val="24"/>
          <w:szCs w:val="24"/>
        </w:rPr>
      </w:pPr>
      <w:proofErr w:type="gramStart"/>
      <w:r w:rsidRPr="00782B86">
        <w:rPr>
          <w:rFonts w:asciiTheme="minorHAnsi" w:eastAsia="+mn-ea" w:hAnsiTheme="minorHAnsi"/>
          <w:noProof/>
          <w:sz w:val="24"/>
          <w:szCs w:val="24"/>
        </w:rPr>
        <w:lastRenderedPageBreak/>
        <w:t xml:space="preserve">Самые дорогие помещения под сферу услуг находятся в Московском, Петроградском и Центральном районах  (1,4 тыс.– 1,5 тыс. руб. за кв. м в месяц), самые дешевые в Кировском, Красногвардейском (1,2 тыс. руб. за кв. м в месяц). </w:t>
      </w:r>
      <w:proofErr w:type="gramEnd"/>
    </w:p>
    <w:p w:rsidR="0049427F" w:rsidRPr="00B669E7" w:rsidRDefault="0049427F" w:rsidP="002F2DCE">
      <w:pPr>
        <w:pStyle w:val="Tabledate"/>
        <w:jc w:val="left"/>
        <w:rPr>
          <w:rFonts w:asciiTheme="minorHAnsi" w:eastAsia="Calibri" w:hAnsiTheme="minorHAnsi" w:cs="Times New Roman"/>
          <w:noProof/>
          <w:color w:val="auto"/>
          <w:sz w:val="24"/>
          <w:szCs w:val="24"/>
        </w:rPr>
      </w:pPr>
    </w:p>
    <w:p w:rsidR="0049427F" w:rsidRPr="00B669E7" w:rsidRDefault="0049427F" w:rsidP="0049427F">
      <w:pPr>
        <w:pStyle w:val="Tabledate"/>
        <w:jc w:val="left"/>
        <w:rPr>
          <w:rFonts w:asciiTheme="minorHAnsi" w:eastAsia="+mn-ea" w:hAnsiTheme="minorHAnsi"/>
          <w:i/>
          <w:iCs/>
          <w:noProof/>
          <w:sz w:val="20"/>
          <w:szCs w:val="20"/>
        </w:rPr>
      </w:pPr>
      <w:r w:rsidRPr="00B669E7">
        <w:rPr>
          <w:rFonts w:asciiTheme="minorHAnsi" w:eastAsia="+mn-ea" w:hAnsiTheme="minorHAnsi"/>
          <w:i/>
          <w:iCs/>
          <w:noProof/>
          <w:sz w:val="20"/>
          <w:szCs w:val="20"/>
        </w:rPr>
        <w:t xml:space="preserve">Цена предложения по районам, руб./кв. м. в месяц </w:t>
      </w:r>
    </w:p>
    <w:tbl>
      <w:tblPr>
        <w:tblW w:w="9760" w:type="dxa"/>
        <w:tblCellMar>
          <w:left w:w="0" w:type="dxa"/>
          <w:right w:w="0" w:type="dxa"/>
        </w:tblCellMar>
        <w:tblLook w:val="04A0"/>
      </w:tblPr>
      <w:tblGrid>
        <w:gridCol w:w="3853"/>
        <w:gridCol w:w="1476"/>
        <w:gridCol w:w="1478"/>
        <w:gridCol w:w="1477"/>
        <w:gridCol w:w="1476"/>
      </w:tblGrid>
      <w:tr w:rsidR="00782B86" w:rsidRPr="00B669E7" w:rsidTr="00782B86">
        <w:trPr>
          <w:trHeight w:val="56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Район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офисы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 xml:space="preserve">различного назначения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торговля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b/>
                <w:bCs/>
                <w:i/>
                <w:iCs/>
                <w:color w:val="000000"/>
                <w:kern w:val="24"/>
                <w:sz w:val="16"/>
                <w:szCs w:val="16"/>
              </w:rPr>
              <w:t>сфера услуг</w:t>
            </w:r>
          </w:p>
        </w:tc>
      </w:tr>
      <w:tr w:rsidR="00782B86" w:rsidRPr="00B669E7" w:rsidTr="00782B86">
        <w:trPr>
          <w:trHeight w:val="31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Адмиралтейский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1 146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1 241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1 238</w:t>
            </w:r>
          </w:p>
        </w:tc>
      </w:tr>
      <w:tr w:rsidR="00782B86" w:rsidRPr="00B669E7" w:rsidTr="00782B86">
        <w:trPr>
          <w:trHeight w:val="25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Василеостровский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868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1 084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1 131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 xml:space="preserve">1 301 </w:t>
            </w:r>
          </w:p>
        </w:tc>
      </w:tr>
      <w:tr w:rsidR="00782B86" w:rsidRPr="00B669E7" w:rsidTr="00782B86">
        <w:trPr>
          <w:trHeight w:val="269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Выборгский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768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1 293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1 331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1 370</w:t>
            </w:r>
          </w:p>
        </w:tc>
      </w:tr>
      <w:tr w:rsidR="00782B86" w:rsidRPr="00B669E7" w:rsidTr="00782B86">
        <w:trPr>
          <w:trHeight w:val="246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Калининский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803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1 214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1 231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1 354</w:t>
            </w:r>
          </w:p>
        </w:tc>
      </w:tr>
      <w:tr w:rsidR="00782B86" w:rsidRPr="00B669E7" w:rsidTr="00782B86">
        <w:trPr>
          <w:trHeight w:val="26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Кировский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774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1 351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1 273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1 241</w:t>
            </w:r>
          </w:p>
        </w:tc>
      </w:tr>
      <w:tr w:rsidR="00782B86" w:rsidRPr="00B669E7" w:rsidTr="00782B86">
        <w:trPr>
          <w:trHeight w:val="25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Красногвардейский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659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1 149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966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1 235</w:t>
            </w:r>
          </w:p>
        </w:tc>
      </w:tr>
      <w:tr w:rsidR="00782B86" w:rsidRPr="00B669E7" w:rsidTr="00782B86">
        <w:trPr>
          <w:trHeight w:val="25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Красносельский</w:t>
            </w:r>
            <w:proofErr w:type="spellEnd"/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665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1 231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1 240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1 286</w:t>
            </w:r>
          </w:p>
        </w:tc>
      </w:tr>
      <w:tr w:rsidR="00782B86" w:rsidRPr="00B669E7" w:rsidTr="00782B86">
        <w:trPr>
          <w:trHeight w:val="26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Московский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797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1 263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1 534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1 435</w:t>
            </w:r>
          </w:p>
        </w:tc>
      </w:tr>
      <w:tr w:rsidR="00782B86" w:rsidRPr="00B669E7" w:rsidTr="00782B86">
        <w:trPr>
          <w:trHeight w:val="25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Невский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747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1 238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1 452</w:t>
            </w:r>
          </w:p>
        </w:tc>
      </w:tr>
      <w:tr w:rsidR="00782B86" w:rsidRPr="00B669E7" w:rsidTr="00782B86">
        <w:trPr>
          <w:trHeight w:val="269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Петроградский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952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1 264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1 288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1 423</w:t>
            </w:r>
          </w:p>
        </w:tc>
      </w:tr>
      <w:tr w:rsidR="00782B86" w:rsidRPr="00B669E7" w:rsidTr="00782B86">
        <w:trPr>
          <w:trHeight w:val="24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Приморский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933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1 277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1 117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1 328</w:t>
            </w:r>
          </w:p>
        </w:tc>
      </w:tr>
      <w:tr w:rsidR="00782B86" w:rsidRPr="00B669E7" w:rsidTr="00782B86">
        <w:trPr>
          <w:trHeight w:val="26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Фрунзенский</w:t>
            </w:r>
            <w:proofErr w:type="spellEnd"/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645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1 507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1 208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1 387</w:t>
            </w:r>
          </w:p>
        </w:tc>
      </w:tr>
      <w:tr w:rsidR="00782B86" w:rsidRPr="00B669E7" w:rsidTr="00782B86">
        <w:trPr>
          <w:trHeight w:val="26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20"/>
                <w:szCs w:val="20"/>
              </w:rPr>
              <w:t>Центральный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1 058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1 318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1 555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2B86" w:rsidRDefault="00782B86">
            <w:pPr>
              <w:pStyle w:val="a5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PT Sans" w:hAnsi="PT Sans" w:cs="Arial"/>
                <w:color w:val="000000"/>
                <w:kern w:val="24"/>
                <w:sz w:val="18"/>
                <w:szCs w:val="18"/>
              </w:rPr>
              <w:t>1 483</w:t>
            </w:r>
          </w:p>
        </w:tc>
      </w:tr>
    </w:tbl>
    <w:p w:rsidR="002F2DCE" w:rsidRPr="00B669E7" w:rsidRDefault="002F2DCE" w:rsidP="002F2DCE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  <w:r w:rsidRPr="00B669E7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</w:t>
      </w:r>
    </w:p>
    <w:p w:rsidR="002F2DCE" w:rsidRPr="00B669E7" w:rsidRDefault="002F2DCE" w:rsidP="002F2DCE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</w:p>
    <w:bookmarkEnd w:id="0"/>
    <w:p w:rsidR="007D0D26" w:rsidRPr="00B669E7" w:rsidRDefault="007D0D26" w:rsidP="007D0D26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  <w:r w:rsidRPr="00B669E7">
        <w:rPr>
          <w:rFonts w:asciiTheme="minorHAnsi" w:hAnsiTheme="minorHAnsi" w:cs="Times New Roman"/>
          <w:sz w:val="24"/>
          <w:szCs w:val="24"/>
        </w:rPr>
        <w:t xml:space="preserve">Отчет выполнен в соответствии с методологией Главного аналитика РГР Г.М. </w:t>
      </w:r>
      <w:proofErr w:type="spellStart"/>
      <w:r w:rsidRPr="00B669E7">
        <w:rPr>
          <w:rFonts w:asciiTheme="minorHAnsi" w:hAnsiTheme="minorHAnsi" w:cs="Times New Roman"/>
          <w:sz w:val="24"/>
          <w:szCs w:val="24"/>
        </w:rPr>
        <w:t>Стерника</w:t>
      </w:r>
      <w:proofErr w:type="spellEnd"/>
    </w:p>
    <w:p w:rsidR="007D0D26" w:rsidRPr="00B669E7" w:rsidRDefault="007D0D26" w:rsidP="007D0D26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</w:p>
    <w:p w:rsidR="007D0D26" w:rsidRPr="00B669E7" w:rsidRDefault="007D0D26" w:rsidP="007D0D26">
      <w:pPr>
        <w:pStyle w:val="Tabledate"/>
        <w:jc w:val="left"/>
        <w:rPr>
          <w:rFonts w:asciiTheme="minorHAnsi" w:hAnsiTheme="minorHAnsi" w:cs="Times New Roman"/>
          <w:sz w:val="24"/>
          <w:szCs w:val="24"/>
        </w:rPr>
      </w:pPr>
      <w:r w:rsidRPr="00B669E7">
        <w:rPr>
          <w:rFonts w:asciiTheme="minorHAnsi" w:hAnsiTheme="minorHAnsi" w:cs="Times New Roman"/>
          <w:sz w:val="24"/>
          <w:szCs w:val="24"/>
        </w:rPr>
        <w:t xml:space="preserve">Подготовлено:  </w:t>
      </w:r>
    </w:p>
    <w:p w:rsidR="007D0D26" w:rsidRPr="00B669E7" w:rsidRDefault="007D0D26" w:rsidP="007D0D26">
      <w:pPr>
        <w:spacing w:after="0"/>
        <w:rPr>
          <w:rFonts w:asciiTheme="minorHAnsi" w:hAnsiTheme="minorHAnsi"/>
          <w:sz w:val="24"/>
          <w:szCs w:val="24"/>
        </w:rPr>
      </w:pPr>
      <w:proofErr w:type="spellStart"/>
      <w:r w:rsidRPr="00B669E7">
        <w:rPr>
          <w:rFonts w:asciiTheme="minorHAnsi" w:hAnsiTheme="minorHAnsi"/>
          <w:sz w:val="24"/>
          <w:szCs w:val="24"/>
        </w:rPr>
        <w:t>Бент</w:t>
      </w:r>
      <w:proofErr w:type="spellEnd"/>
      <w:r w:rsidRPr="00B669E7">
        <w:rPr>
          <w:rFonts w:asciiTheme="minorHAnsi" w:hAnsiTheme="minorHAnsi"/>
          <w:sz w:val="24"/>
          <w:szCs w:val="24"/>
        </w:rPr>
        <w:t xml:space="preserve"> М.А., САРН, ООО «ГК «Бюллетень Недвижимости»</w:t>
      </w:r>
    </w:p>
    <w:p w:rsidR="007D0D26" w:rsidRPr="00B669E7" w:rsidRDefault="007D0D26" w:rsidP="007D0D26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B669E7">
        <w:rPr>
          <w:rFonts w:asciiTheme="minorHAnsi" w:hAnsiTheme="minorHAnsi"/>
          <w:sz w:val="24"/>
          <w:szCs w:val="24"/>
        </w:rPr>
        <w:t>тел</w:t>
      </w:r>
      <w:r w:rsidRPr="00B669E7">
        <w:rPr>
          <w:rFonts w:asciiTheme="minorHAnsi" w:hAnsiTheme="minorHAnsi"/>
          <w:sz w:val="24"/>
          <w:szCs w:val="24"/>
          <w:lang w:val="en-US"/>
        </w:rPr>
        <w:t>. (812) 32</w:t>
      </w:r>
      <w:r w:rsidR="00C6352B">
        <w:rPr>
          <w:rFonts w:asciiTheme="minorHAnsi" w:hAnsiTheme="minorHAnsi"/>
          <w:sz w:val="24"/>
          <w:szCs w:val="24"/>
          <w:lang w:val="en-US"/>
        </w:rPr>
        <w:t>5</w:t>
      </w:r>
      <w:r w:rsidRPr="00B669E7">
        <w:rPr>
          <w:rFonts w:asciiTheme="minorHAnsi" w:hAnsiTheme="minorHAnsi"/>
          <w:sz w:val="24"/>
          <w:szCs w:val="24"/>
          <w:lang w:val="en-US"/>
        </w:rPr>
        <w:t>-</w:t>
      </w:r>
      <w:r w:rsidR="00C6352B">
        <w:rPr>
          <w:rFonts w:asciiTheme="minorHAnsi" w:hAnsiTheme="minorHAnsi"/>
          <w:sz w:val="24"/>
          <w:szCs w:val="24"/>
          <w:lang w:val="en-US"/>
        </w:rPr>
        <w:t>0</w:t>
      </w:r>
      <w:r w:rsidRPr="00B669E7">
        <w:rPr>
          <w:rFonts w:asciiTheme="minorHAnsi" w:hAnsiTheme="minorHAnsi"/>
          <w:sz w:val="24"/>
          <w:szCs w:val="24"/>
          <w:lang w:val="en-US"/>
        </w:rPr>
        <w:t>6-8</w:t>
      </w:r>
      <w:r w:rsidR="00C6352B">
        <w:rPr>
          <w:rFonts w:asciiTheme="minorHAnsi" w:hAnsiTheme="minorHAnsi"/>
          <w:sz w:val="24"/>
          <w:szCs w:val="24"/>
          <w:lang w:val="en-US"/>
        </w:rPr>
        <w:t>1</w:t>
      </w:r>
      <w:r w:rsidRPr="00B669E7">
        <w:rPr>
          <w:rFonts w:asciiTheme="minorHAnsi" w:hAnsiTheme="minorHAnsi"/>
          <w:sz w:val="24"/>
          <w:szCs w:val="24"/>
          <w:lang w:val="en-US"/>
        </w:rPr>
        <w:t xml:space="preserve">, e-mail: </w:t>
      </w:r>
      <w:hyperlink r:id="rId22" w:history="1">
        <w:r w:rsidRPr="00B669E7">
          <w:rPr>
            <w:rStyle w:val="a6"/>
            <w:rFonts w:asciiTheme="minorHAnsi" w:hAnsiTheme="minorHAnsi"/>
            <w:sz w:val="24"/>
            <w:szCs w:val="24"/>
            <w:lang w:val="en-US"/>
          </w:rPr>
          <w:t>analitika@bn.ru</w:t>
        </w:r>
      </w:hyperlink>
      <w:r w:rsidRPr="00B669E7">
        <w:rPr>
          <w:rFonts w:asciiTheme="minorHAnsi" w:hAnsiTheme="minorHAnsi"/>
          <w:sz w:val="24"/>
          <w:szCs w:val="24"/>
          <w:lang w:val="en-US"/>
        </w:rPr>
        <w:t xml:space="preserve">, </w:t>
      </w:r>
    </w:p>
    <w:p w:rsidR="007D0D26" w:rsidRPr="00B669E7" w:rsidRDefault="007D0D26" w:rsidP="007D0D26">
      <w:pPr>
        <w:spacing w:after="0"/>
        <w:rPr>
          <w:rFonts w:asciiTheme="minorHAnsi" w:hAnsiTheme="minorHAnsi"/>
          <w:sz w:val="24"/>
          <w:szCs w:val="24"/>
        </w:rPr>
      </w:pPr>
      <w:proofErr w:type="gramStart"/>
      <w:r w:rsidRPr="00B669E7">
        <w:rPr>
          <w:rFonts w:asciiTheme="minorHAnsi" w:hAnsiTheme="minorHAnsi"/>
          <w:sz w:val="24"/>
          <w:szCs w:val="24"/>
          <w:lang w:val="en-US"/>
        </w:rPr>
        <w:t>web-</w:t>
      </w:r>
      <w:r w:rsidRPr="00B669E7">
        <w:rPr>
          <w:rFonts w:asciiTheme="minorHAnsi" w:hAnsiTheme="minorHAnsi"/>
          <w:sz w:val="24"/>
          <w:szCs w:val="24"/>
        </w:rPr>
        <w:t>сайт</w:t>
      </w:r>
      <w:proofErr w:type="gramEnd"/>
      <w:r w:rsidRPr="00B669E7">
        <w:rPr>
          <w:rFonts w:asciiTheme="minorHAnsi" w:hAnsiTheme="minorHAnsi"/>
          <w:sz w:val="24"/>
          <w:szCs w:val="24"/>
          <w:lang w:val="en-US"/>
        </w:rPr>
        <w:t>: www.bn.ru</w:t>
      </w:r>
    </w:p>
    <w:p w:rsidR="00954379" w:rsidRPr="00B669E7" w:rsidRDefault="00954379" w:rsidP="00AC0B4E">
      <w:pPr>
        <w:rPr>
          <w:rFonts w:asciiTheme="minorHAnsi" w:hAnsiTheme="minorHAnsi"/>
          <w:noProof/>
          <w:sz w:val="24"/>
          <w:szCs w:val="24"/>
          <w:lang w:eastAsia="ru-RU"/>
        </w:rPr>
      </w:pPr>
    </w:p>
    <w:sectPr w:rsidR="00954379" w:rsidRPr="00B669E7" w:rsidSect="003318E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3604"/>
    <w:rsid w:val="000505CF"/>
    <w:rsid w:val="001B5355"/>
    <w:rsid w:val="001C456E"/>
    <w:rsid w:val="001D7A22"/>
    <w:rsid w:val="00214288"/>
    <w:rsid w:val="002216E0"/>
    <w:rsid w:val="0024189D"/>
    <w:rsid w:val="00243E1E"/>
    <w:rsid w:val="002567A3"/>
    <w:rsid w:val="00273DF1"/>
    <w:rsid w:val="00290895"/>
    <w:rsid w:val="002A6964"/>
    <w:rsid w:val="002D2B9D"/>
    <w:rsid w:val="002F2DCE"/>
    <w:rsid w:val="003318EE"/>
    <w:rsid w:val="00357BFF"/>
    <w:rsid w:val="003A29AD"/>
    <w:rsid w:val="003B7C2F"/>
    <w:rsid w:val="00405A49"/>
    <w:rsid w:val="0049212B"/>
    <w:rsid w:val="0049427F"/>
    <w:rsid w:val="004F06CE"/>
    <w:rsid w:val="005719A7"/>
    <w:rsid w:val="006161C8"/>
    <w:rsid w:val="006F0FD8"/>
    <w:rsid w:val="006F348E"/>
    <w:rsid w:val="00703031"/>
    <w:rsid w:val="00782B86"/>
    <w:rsid w:val="007C209E"/>
    <w:rsid w:val="007D0D26"/>
    <w:rsid w:val="00821608"/>
    <w:rsid w:val="008219DF"/>
    <w:rsid w:val="008762A3"/>
    <w:rsid w:val="00894196"/>
    <w:rsid w:val="008C1215"/>
    <w:rsid w:val="00954379"/>
    <w:rsid w:val="00956915"/>
    <w:rsid w:val="00A2697E"/>
    <w:rsid w:val="00AC0B4E"/>
    <w:rsid w:val="00B1440E"/>
    <w:rsid w:val="00B36AB4"/>
    <w:rsid w:val="00B643CA"/>
    <w:rsid w:val="00B669E7"/>
    <w:rsid w:val="00BA7C8E"/>
    <w:rsid w:val="00BC12D5"/>
    <w:rsid w:val="00C6352B"/>
    <w:rsid w:val="00C77A96"/>
    <w:rsid w:val="00C77F04"/>
    <w:rsid w:val="00CD5723"/>
    <w:rsid w:val="00D10C0B"/>
    <w:rsid w:val="00D50628"/>
    <w:rsid w:val="00E06B77"/>
    <w:rsid w:val="00E07149"/>
    <w:rsid w:val="00E07BB0"/>
    <w:rsid w:val="00E11116"/>
    <w:rsid w:val="00E23604"/>
    <w:rsid w:val="00E242BA"/>
    <w:rsid w:val="00E4029E"/>
    <w:rsid w:val="00E61C3A"/>
    <w:rsid w:val="00E916A8"/>
    <w:rsid w:val="00FA5E13"/>
    <w:rsid w:val="00FB7563"/>
    <w:rsid w:val="00FF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6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26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2F2DCE"/>
    <w:rPr>
      <w:color w:val="0000FF"/>
      <w:u w:val="single"/>
    </w:rPr>
  </w:style>
  <w:style w:type="paragraph" w:customStyle="1" w:styleId="Tabledate">
    <w:name w:val="Table date"/>
    <w:basedOn w:val="a"/>
    <w:rsid w:val="002F2DCE"/>
    <w:pPr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OfficinaSansMediumC" w:eastAsia="Times New Roman" w:hAnsi="OfficinaSansMediumC" w:cs="OfficinaSansMediumC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hyperlink" Target="mailto:analitika@bn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5.8879732317324227E-2"/>
          <c:y val="3.4135992058230251E-2"/>
          <c:w val="0.9182097414012822"/>
          <c:h val="0.771589973271689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Лист1!$A$2:$A$10</c:f>
              <c:strCache>
                <c:ptCount val="9"/>
                <c:pt idx="0">
                  <c:v>IV кв. 2012</c:v>
                </c:pt>
                <c:pt idx="1">
                  <c:v>I кв. 2013</c:v>
                </c:pt>
                <c:pt idx="2">
                  <c:v>II кв. 2013</c:v>
                </c:pt>
                <c:pt idx="3">
                  <c:v>III кв. 2013</c:v>
                </c:pt>
                <c:pt idx="4">
                  <c:v>IV кв. 2013</c:v>
                </c:pt>
                <c:pt idx="5">
                  <c:v>I кв. 2014</c:v>
                </c:pt>
                <c:pt idx="6">
                  <c:v>II кв. 2014</c:v>
                </c:pt>
                <c:pt idx="7">
                  <c:v>III кв. 2014</c:v>
                </c:pt>
                <c:pt idx="8">
                  <c:v>IV кв. 2014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2153</c:v>
                </c:pt>
                <c:pt idx="1">
                  <c:v>2099</c:v>
                </c:pt>
                <c:pt idx="2">
                  <c:v>2128</c:v>
                </c:pt>
                <c:pt idx="3">
                  <c:v>1955</c:v>
                </c:pt>
                <c:pt idx="4">
                  <c:v>1890</c:v>
                </c:pt>
                <c:pt idx="5">
                  <c:v>2253</c:v>
                </c:pt>
                <c:pt idx="6" formatCode="0.00%">
                  <c:v>1988</c:v>
                </c:pt>
                <c:pt idx="7" formatCode="0.00%">
                  <c:v>1864</c:v>
                </c:pt>
                <c:pt idx="8" formatCode="0.00%">
                  <c:v>1745</c:v>
                </c:pt>
              </c:numCache>
            </c:numRef>
          </c:val>
        </c:ser>
        <c:dLbls>
          <c:showVal val="1"/>
        </c:dLbls>
        <c:gapWidth val="75"/>
        <c:axId val="41310848"/>
        <c:axId val="70560384"/>
      </c:barChart>
      <c:catAx>
        <c:axId val="41310848"/>
        <c:scaling>
          <c:orientation val="minMax"/>
        </c:scaling>
        <c:axPos val="b"/>
        <c:numFmt formatCode="mmm\ yy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0560384"/>
        <c:crosses val="autoZero"/>
        <c:auto val="1"/>
        <c:lblAlgn val="ctr"/>
        <c:lblOffset val="100"/>
      </c:catAx>
      <c:valAx>
        <c:axId val="70560384"/>
        <c:scaling>
          <c:orientation val="minMax"/>
        </c:scaling>
        <c:axPos val="l"/>
        <c:numFmt formatCode="#,##0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310848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</c:chart>
  <c:txPr>
    <a:bodyPr/>
    <a:lstStyle/>
    <a:p>
      <a:pPr>
        <a:defRPr sz="799">
          <a:latin typeface="PT Sans"/>
        </a:defRPr>
      </a:pPr>
      <a:endParaRPr lang="ru-RU"/>
    </a:p>
  </c:tx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6022340230726975"/>
          <c:y val="3.4135992058230202E-2"/>
          <c:w val="0.76902765061344103"/>
          <c:h val="0.7747779068600032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&lt;20</c:v>
                </c:pt>
                <c:pt idx="1">
                  <c:v>20-59</c:v>
                </c:pt>
                <c:pt idx="2">
                  <c:v>60-99</c:v>
                </c:pt>
                <c:pt idx="3">
                  <c:v>100-139</c:v>
                </c:pt>
                <c:pt idx="4">
                  <c:v>140-179</c:v>
                </c:pt>
                <c:pt idx="5">
                  <c:v>180-219</c:v>
                </c:pt>
                <c:pt idx="6">
                  <c:v>220-260</c:v>
                </c:pt>
                <c:pt idx="7">
                  <c:v>&gt;260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0.17829457364341086</c:v>
                </c:pt>
                <c:pt idx="1">
                  <c:v>0.20413436692506459</c:v>
                </c:pt>
                <c:pt idx="2">
                  <c:v>0.19638242894056837</c:v>
                </c:pt>
                <c:pt idx="3">
                  <c:v>0.15503875968992284</c:v>
                </c:pt>
                <c:pt idx="4">
                  <c:v>5.4263565891472874E-2</c:v>
                </c:pt>
                <c:pt idx="5">
                  <c:v>5.9431524547803823E-2</c:v>
                </c:pt>
                <c:pt idx="6">
                  <c:v>4.651162790697691E-2</c:v>
                </c:pt>
                <c:pt idx="7">
                  <c:v>0.10594315245478059</c:v>
                </c:pt>
              </c:numCache>
            </c:numRef>
          </c:val>
        </c:ser>
        <c:dLbls>
          <c:showVal val="1"/>
        </c:dLbls>
        <c:gapWidth val="75"/>
        <c:axId val="43990400"/>
        <c:axId val="43992192"/>
      </c:barChart>
      <c:catAx>
        <c:axId val="4399040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992192"/>
        <c:crosses val="autoZero"/>
        <c:auto val="1"/>
        <c:lblAlgn val="ctr"/>
        <c:lblOffset val="100"/>
      </c:catAx>
      <c:valAx>
        <c:axId val="43992192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990400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581"/>
          <c:h val="0.7425076143734122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122.88576779026218</c:v>
                </c:pt>
                <c:pt idx="1">
                  <c:v>128.27713178294573</c:v>
                </c:pt>
                <c:pt idx="2">
                  <c:v>140.77446808510638</c:v>
                </c:pt>
                <c:pt idx="3">
                  <c:v>146.13202933985329</c:v>
                </c:pt>
              </c:numCache>
            </c:numRef>
          </c:val>
        </c:ser>
        <c:dLbls>
          <c:showVal val="1"/>
        </c:dLbls>
        <c:gapWidth val="75"/>
        <c:axId val="44049536"/>
        <c:axId val="44051072"/>
      </c:barChart>
      <c:catAx>
        <c:axId val="440495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4051072"/>
        <c:crosses val="autoZero"/>
        <c:auto val="1"/>
        <c:lblAlgn val="ctr"/>
        <c:lblOffset val="100"/>
      </c:catAx>
      <c:valAx>
        <c:axId val="4405107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4049536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603"/>
          <c:h val="0.718457418872650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114.89376443418014</c:v>
                </c:pt>
                <c:pt idx="1">
                  <c:v>115.64693446088796</c:v>
                </c:pt>
                <c:pt idx="2">
                  <c:v>116.74889867841408</c:v>
                </c:pt>
                <c:pt idx="3">
                  <c:v>116.63209876543208</c:v>
                </c:pt>
              </c:numCache>
            </c:numRef>
          </c:val>
        </c:ser>
        <c:dLbls>
          <c:showVal val="1"/>
        </c:dLbls>
        <c:gapWidth val="75"/>
        <c:axId val="44067072"/>
        <c:axId val="44077056"/>
      </c:barChart>
      <c:catAx>
        <c:axId val="44067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4077056"/>
        <c:crosses val="autoZero"/>
        <c:auto val="1"/>
        <c:lblAlgn val="ctr"/>
        <c:lblOffset val="100"/>
      </c:catAx>
      <c:valAx>
        <c:axId val="44077056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4067072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603"/>
          <c:h val="0.734490823299193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201.10326086956491</c:v>
                </c:pt>
                <c:pt idx="1">
                  <c:v>169.42696629213484</c:v>
                </c:pt>
                <c:pt idx="2">
                  <c:v>204.5466237942116</c:v>
                </c:pt>
                <c:pt idx="3">
                  <c:v>200</c:v>
                </c:pt>
              </c:numCache>
            </c:numRef>
          </c:val>
        </c:ser>
        <c:dLbls>
          <c:showVal val="1"/>
        </c:dLbls>
        <c:gapWidth val="75"/>
        <c:axId val="77888896"/>
        <c:axId val="77907072"/>
      </c:barChart>
      <c:catAx>
        <c:axId val="77888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7907072"/>
        <c:crosses val="autoZero"/>
        <c:auto val="1"/>
        <c:lblAlgn val="ctr"/>
        <c:lblOffset val="100"/>
      </c:catAx>
      <c:valAx>
        <c:axId val="7790707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7888896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625"/>
          <c:h val="0.750524562927351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I кв. 2013</c:v>
                </c:pt>
                <c:pt idx="1">
                  <c:v>II кв. 2013</c:v>
                </c:pt>
                <c:pt idx="2">
                  <c:v>III кв. 2013</c:v>
                </c:pt>
                <c:pt idx="3">
                  <c:v>IV кв. 2013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140.59821428571459</c:v>
                </c:pt>
                <c:pt idx="1">
                  <c:v>143.02631578947367</c:v>
                </c:pt>
                <c:pt idx="2">
                  <c:v>122.964705882353</c:v>
                </c:pt>
                <c:pt idx="3">
                  <c:v>109.052631578947</c:v>
                </c:pt>
              </c:numCache>
            </c:numRef>
          </c:val>
        </c:ser>
        <c:dLbls>
          <c:showVal val="1"/>
        </c:dLbls>
        <c:gapWidth val="75"/>
        <c:axId val="79008512"/>
        <c:axId val="79010048"/>
      </c:barChart>
      <c:catAx>
        <c:axId val="790085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010048"/>
        <c:crosses val="autoZero"/>
        <c:auto val="1"/>
        <c:lblAlgn val="ctr"/>
        <c:lblOffset val="100"/>
      </c:catAx>
      <c:valAx>
        <c:axId val="79010048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9008512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603"/>
          <c:h val="0.7425076143734122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pPr>
              <a:solidFill>
                <a:srgbClr val="B9553B"/>
              </a:solidFill>
              <a:ln>
                <a:solidFill>
                  <a:srgbClr val="B9553B"/>
                </a:solidFill>
              </a:ln>
            </c:spPr>
          </c:marker>
          <c:dLbls>
            <c:dLbl>
              <c:idx val="0"/>
              <c:layout>
                <c:manualLayout>
                  <c:x val="-5.4590513286391924E-2"/>
                  <c:y val="8.0167910742184448E-2"/>
                </c:manualLayout>
              </c:layout>
              <c:showVal val="1"/>
            </c:dLbl>
            <c:dLbl>
              <c:idx val="1"/>
              <c:layout>
                <c:manualLayout>
                  <c:x val="-8.3985405055987811E-3"/>
                  <c:y val="-8.0167910742184448E-2"/>
                </c:manualLayout>
              </c:layout>
              <c:showVal val="1"/>
            </c:dLbl>
            <c:dLbl>
              <c:idx val="2"/>
              <c:layout>
                <c:manualLayout>
                  <c:x val="-8.3985405055987065E-3"/>
                  <c:y val="-7.2151119667965946E-2"/>
                </c:manualLayout>
              </c:layout>
              <c:showVal val="1"/>
            </c:dLbl>
            <c:dLbl>
              <c:idx val="3"/>
              <c:layout>
                <c:manualLayout>
                  <c:x val="-2.939489176959563E-2"/>
                  <c:y val="8.81847018164028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1295.5702669813199</c:v>
                </c:pt>
                <c:pt idx="1">
                  <c:v>1298.465663650501</c:v>
                </c:pt>
                <c:pt idx="2">
                  <c:v>1282.9444315033238</c:v>
                </c:pt>
                <c:pt idx="3">
                  <c:v>1243.7067159113531</c:v>
                </c:pt>
              </c:numCache>
            </c:numRef>
          </c:val>
        </c:ser>
        <c:dLbls>
          <c:showVal val="1"/>
        </c:dLbls>
        <c:marker val="1"/>
        <c:axId val="79087104"/>
        <c:axId val="79088640"/>
      </c:lineChart>
      <c:catAx>
        <c:axId val="790871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79088640"/>
        <c:crosses val="autoZero"/>
        <c:auto val="1"/>
        <c:lblAlgn val="ctr"/>
        <c:lblOffset val="100"/>
      </c:catAx>
      <c:valAx>
        <c:axId val="79088640"/>
        <c:scaling>
          <c:orientation val="minMax"/>
          <c:max val="1350"/>
          <c:min val="1200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79087104"/>
        <c:crosses val="autoZero"/>
        <c:crossBetween val="between"/>
        <c:majorUnit val="50"/>
      </c:valAx>
    </c:plotArea>
    <c:plotVisOnly val="1"/>
    <c:dispBlanksAs val="gap"/>
  </c:chart>
  <c:txPr>
    <a:bodyPr/>
    <a:lstStyle/>
    <a:p>
      <a:pPr>
        <a:defRPr sz="900">
          <a:latin typeface="PT Sans"/>
        </a:defRPr>
      </a:pPr>
      <a:endParaRPr lang="ru-RU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625"/>
          <c:h val="0.7264740322249754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pPr>
              <a:solidFill>
                <a:srgbClr val="B9553B"/>
              </a:solidFill>
              <a:ln>
                <a:solidFill>
                  <a:srgbClr val="B9553B"/>
                </a:solidFill>
              </a:ln>
            </c:spPr>
          </c:marker>
          <c:dLbls>
            <c:dLbl>
              <c:idx val="0"/>
              <c:layout>
                <c:manualLayout>
                  <c:x val="-5.4590513286391924E-2"/>
                  <c:y val="0.10421828396483997"/>
                </c:manualLayout>
              </c:layout>
              <c:showVal val="1"/>
            </c:dLbl>
            <c:dLbl>
              <c:idx val="1"/>
              <c:layout>
                <c:manualLayout>
                  <c:x val="-8.398540505598788E-3"/>
                  <c:y val="3.2067164296873792E-2"/>
                </c:manualLayout>
              </c:layout>
              <c:showVal val="1"/>
            </c:dLbl>
            <c:dLbl>
              <c:idx val="2"/>
              <c:layout>
                <c:manualLayout>
                  <c:x val="-8.3985405055987152E-3"/>
                  <c:y val="8.8184701816402852E-2"/>
                </c:manualLayout>
              </c:layout>
              <c:showVal val="1"/>
            </c:dLbl>
            <c:dLbl>
              <c:idx val="3"/>
              <c:layout>
                <c:manualLayout>
                  <c:x val="-2.939489176959563E-2"/>
                  <c:y val="8.81847018164028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882.07041698883791</c:v>
                </c:pt>
                <c:pt idx="1">
                  <c:v>873.04268476131449</c:v>
                </c:pt>
                <c:pt idx="2">
                  <c:v>889.00480186606285</c:v>
                </c:pt>
                <c:pt idx="3">
                  <c:v>892.96500516251706</c:v>
                </c:pt>
              </c:numCache>
            </c:numRef>
          </c:val>
        </c:ser>
        <c:dLbls>
          <c:showVal val="1"/>
        </c:dLbls>
        <c:marker val="1"/>
        <c:axId val="79133312"/>
        <c:axId val="79147392"/>
      </c:lineChart>
      <c:catAx>
        <c:axId val="791333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79147392"/>
        <c:crosses val="autoZero"/>
        <c:auto val="1"/>
        <c:lblAlgn val="ctr"/>
        <c:lblOffset val="100"/>
      </c:catAx>
      <c:valAx>
        <c:axId val="7914739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79133312"/>
        <c:crosses val="autoZero"/>
        <c:crossBetween val="between"/>
        <c:majorUnit val="10"/>
      </c:valAx>
    </c:plotArea>
    <c:plotVisOnly val="1"/>
    <c:dispBlanksAs val="gap"/>
  </c:chart>
  <c:txPr>
    <a:bodyPr/>
    <a:lstStyle/>
    <a:p>
      <a:pPr>
        <a:defRPr sz="900">
          <a:latin typeface="PT Sans"/>
        </a:defRPr>
      </a:pPr>
      <a:endParaRPr lang="ru-RU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625"/>
          <c:h val="0.734490823299193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pPr>
              <a:solidFill>
                <a:srgbClr val="B9553B"/>
              </a:solidFill>
              <a:ln>
                <a:solidFill>
                  <a:srgbClr val="B9553B"/>
                </a:solidFill>
              </a:ln>
            </c:spPr>
          </c:marker>
          <c:dLbls>
            <c:dLbl>
              <c:idx val="0"/>
              <c:layout>
                <c:manualLayout>
                  <c:x val="-2.939489176959563E-2"/>
                  <c:y val="0.10421828396484002"/>
                </c:manualLayout>
              </c:layout>
              <c:showVal val="1"/>
            </c:dLbl>
            <c:dLbl>
              <c:idx val="1"/>
              <c:layout>
                <c:manualLayout>
                  <c:x val="-8.3985405055987811E-3"/>
                  <c:y val="-2.4050373222655387E-2"/>
                </c:manualLayout>
              </c:layout>
              <c:showVal val="1"/>
            </c:dLbl>
            <c:dLbl>
              <c:idx val="2"/>
              <c:layout>
                <c:manualLayout>
                  <c:x val="-8.3985405055987065E-3"/>
                  <c:y val="-5.6117537519529102E-2"/>
                </c:manualLayout>
              </c:layout>
              <c:showVal val="1"/>
            </c:dLbl>
            <c:dLbl>
              <c:idx val="3"/>
              <c:layout>
                <c:manualLayout>
                  <c:x val="-2.939489176959563E-2"/>
                  <c:y val="8.81847018164028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1349.3496740057203</c:v>
                </c:pt>
                <c:pt idx="1">
                  <c:v>1405.4413686805783</c:v>
                </c:pt>
                <c:pt idx="2">
                  <c:v>1392.3978592906365</c:v>
                </c:pt>
                <c:pt idx="3">
                  <c:v>1357.4947133707501</c:v>
                </c:pt>
              </c:numCache>
            </c:numRef>
          </c:val>
        </c:ser>
        <c:dLbls>
          <c:showVal val="1"/>
        </c:dLbls>
        <c:marker val="1"/>
        <c:axId val="81325056"/>
        <c:axId val="79128064"/>
      </c:lineChart>
      <c:catAx>
        <c:axId val="81325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79128064"/>
        <c:crosses val="autoZero"/>
        <c:auto val="1"/>
        <c:lblAlgn val="ctr"/>
        <c:lblOffset val="100"/>
      </c:catAx>
      <c:valAx>
        <c:axId val="79128064"/>
        <c:scaling>
          <c:orientation val="minMax"/>
          <c:max val="1450"/>
          <c:min val="1300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81325056"/>
        <c:crosses val="autoZero"/>
        <c:crossBetween val="between"/>
        <c:majorUnit val="50"/>
      </c:valAx>
    </c:plotArea>
    <c:plotVisOnly val="1"/>
    <c:dispBlanksAs val="gap"/>
  </c:chart>
  <c:txPr>
    <a:bodyPr/>
    <a:lstStyle/>
    <a:p>
      <a:pPr>
        <a:defRPr sz="900">
          <a:latin typeface="PT Sans"/>
        </a:defRPr>
      </a:pPr>
      <a:endParaRPr lang="ru-RU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>
        <c:manualLayout>
          <c:layoutTarget val="inner"/>
          <c:xMode val="edge"/>
          <c:yMode val="edge"/>
          <c:x val="0.11304962327418169"/>
          <c:y val="3.4135992058230202E-2"/>
          <c:w val="0.85984059305599658"/>
          <c:h val="0.7425076143734122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ln>
              <a:solidFill>
                <a:srgbClr val="B9553B"/>
              </a:solidFill>
            </a:ln>
          </c:spPr>
          <c:marker>
            <c:spPr>
              <a:solidFill>
                <a:srgbClr val="B9553B"/>
              </a:solidFill>
              <a:ln>
                <a:solidFill>
                  <a:srgbClr val="B9553B"/>
                </a:solidFill>
              </a:ln>
            </c:spPr>
          </c:marker>
          <c:dLbls>
            <c:dLbl>
              <c:idx val="0"/>
              <c:layout>
                <c:manualLayout>
                  <c:x val="-2.939489176959563E-2"/>
                  <c:y val="0.10421828396484002"/>
                </c:manualLayout>
              </c:layout>
              <c:showVal val="1"/>
            </c:dLbl>
            <c:dLbl>
              <c:idx val="1"/>
              <c:layout>
                <c:manualLayout>
                  <c:x val="-8.3985405055987811E-3"/>
                  <c:y val="-8.0168541985576228E-2"/>
                </c:manualLayout>
              </c:layout>
              <c:showVal val="1"/>
            </c:dLbl>
            <c:dLbl>
              <c:idx val="2"/>
              <c:layout>
                <c:manualLayout>
                  <c:x val="-8.3985405055987221E-3"/>
                  <c:y val="8.8184701816402852E-2"/>
                </c:manualLayout>
              </c:layout>
              <c:showVal val="1"/>
            </c:dLbl>
            <c:dLbl>
              <c:idx val="3"/>
              <c:layout>
                <c:manualLayout>
                  <c:x val="-2.939489176959563E-2"/>
                  <c:y val="8.818470181640285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I кв. 2014</c:v>
                </c:pt>
                <c:pt idx="1">
                  <c:v>II кв. 2014</c:v>
                </c:pt>
                <c:pt idx="2">
                  <c:v>III кв. 2014</c:v>
                </c:pt>
                <c:pt idx="3">
                  <c:v>IV кв. 2014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1197.0329183859708</c:v>
                </c:pt>
                <c:pt idx="1">
                  <c:v>1351.9524975763072</c:v>
                </c:pt>
                <c:pt idx="2">
                  <c:v>1315.2959451276633</c:v>
                </c:pt>
                <c:pt idx="3">
                  <c:v>1304.0105661066411</c:v>
                </c:pt>
              </c:numCache>
            </c:numRef>
          </c:val>
        </c:ser>
        <c:dLbls>
          <c:showVal val="1"/>
        </c:dLbls>
        <c:marker val="1"/>
        <c:axId val="81359616"/>
        <c:axId val="81361152"/>
      </c:lineChart>
      <c:catAx>
        <c:axId val="813596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81361152"/>
        <c:crosses val="autoZero"/>
        <c:auto val="1"/>
        <c:lblAlgn val="ctr"/>
        <c:lblOffset val="100"/>
      </c:catAx>
      <c:valAx>
        <c:axId val="81361152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ru-RU"/>
          </a:p>
        </c:txPr>
        <c:crossAx val="81359616"/>
        <c:crosses val="autoZero"/>
        <c:crossBetween val="between"/>
        <c:majorUnit val="100"/>
      </c:valAx>
    </c:plotArea>
    <c:plotVisOnly val="1"/>
    <c:dispBlanksAs val="gap"/>
  </c:chart>
  <c:txPr>
    <a:bodyPr/>
    <a:lstStyle/>
    <a:p>
      <a:pPr>
        <a:defRPr sz="900">
          <a:latin typeface="PT Sans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Продажа</c:v>
                </c:pt>
              </c:strCache>
            </c:strRef>
          </c:tx>
          <c:spPr>
            <a:solidFill>
              <a:srgbClr val="B9553B"/>
            </a:solidFill>
            <a:ln>
              <a:solidFill>
                <a:srgbClr val="B9553B"/>
              </a:solidFill>
            </a:ln>
          </c:spPr>
          <c:explosion val="8"/>
          <c:dPt>
            <c:idx val="4"/>
            <c:spPr>
              <a:solidFill>
                <a:srgbClr val="FCD6A4"/>
              </a:solidFill>
              <a:ln>
                <a:solidFill>
                  <a:srgbClr val="B9553B"/>
                </a:solidFill>
              </a:ln>
            </c:spPr>
          </c:dPt>
          <c:dPt>
            <c:idx val="5"/>
            <c:spPr>
              <a:solidFill>
                <a:srgbClr val="FCD6A4"/>
              </a:solidFill>
              <a:ln>
                <a:solidFill>
                  <a:srgbClr val="B9553B"/>
                </a:solidFill>
              </a:ln>
            </c:spPr>
          </c:dPt>
          <c:dPt>
            <c:idx val="6"/>
            <c:spPr>
              <a:solidFill>
                <a:srgbClr val="FCD6A4"/>
              </a:solidFill>
              <a:ln>
                <a:solidFill>
                  <a:srgbClr val="B9553B"/>
                </a:solidFill>
              </a:ln>
            </c:spPr>
          </c:dPt>
          <c:dLbls>
            <c:dLbl>
              <c:idx val="0"/>
              <c:layout>
                <c:manualLayout>
                  <c:x val="6.8119122904912524E-3"/>
                  <c:y val="-2.6256308512617097E-2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9.3223717114100879E-2"/>
                  <c:y val="-0.14319399838799718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3.4561514456362248E-2"/>
                  <c:y val="0.1123710087420175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-8.182197697728804E-3"/>
                  <c:y val="2.308127585746711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 dirty="0" smtClean="0">
                        <a:latin typeface="PT Sans"/>
                      </a:rPr>
                      <a:t>торговля</a:t>
                    </a:r>
                    <a:r>
                      <a:rPr lang="ru-RU" dirty="0" smtClean="0"/>
                      <a:t>; </a:t>
                    </a:r>
                  </a:p>
                  <a:p>
                    <a:r>
                      <a:rPr lang="ru-RU" dirty="0" smtClean="0"/>
                      <a:t>6.13%</a:t>
                    </a:r>
                    <a:endParaRPr lang="ru-RU" dirty="0"/>
                  </a:p>
                </c:rich>
              </c:tx>
              <c:dLblPos val="bestFit"/>
            </c:dLbl>
            <c:dLbl>
              <c:idx val="4"/>
              <c:layout>
                <c:manualLayout>
                  <c:x val="0.17427821522309711"/>
                  <c:y val="-2.7126294252588452E-2"/>
                </c:manualLayout>
              </c:layout>
              <c:dLblPos val="bestFit"/>
              <c:showVal val="1"/>
              <c:showCatName val="1"/>
            </c:dLbl>
            <c:dLbl>
              <c:idx val="5"/>
              <c:layout>
                <c:manualLayout>
                  <c:x val="-9.7761795523591062E-4"/>
                  <c:y val="5.4272428544857101E-2"/>
                </c:manualLayout>
              </c:layout>
              <c:dLblPos val="bestFit"/>
              <c:showVal val="1"/>
              <c:showCatName val="1"/>
            </c:dLbl>
            <c:dLbl>
              <c:idx val="6"/>
              <c:layout>
                <c:manualLayout>
                  <c:x val="-4.1994750656167978E-3"/>
                  <c:y val="-6.6513733027466243E-4"/>
                </c:manualLayout>
              </c:layout>
              <c:dLblPos val="bestFit"/>
              <c:showVal val="1"/>
              <c:showCatName val="1"/>
            </c:dLbl>
            <c:dLbl>
              <c:idx val="7"/>
              <c:layout>
                <c:manualLayout>
                  <c:x val="-3.1313455131491397E-3"/>
                  <c:y val="-5.7881499756732837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 dirty="0" smtClean="0">
                        <a:latin typeface="PT Sans"/>
                      </a:rPr>
                      <a:t>д</a:t>
                    </a:r>
                    <a:r>
                      <a:rPr lang="ru-RU" dirty="0" smtClean="0"/>
                      <a:t>ругие; </a:t>
                    </a:r>
                  </a:p>
                  <a:p>
                    <a:r>
                      <a:rPr lang="ru-RU" dirty="0" smtClean="0"/>
                      <a:t>8.74%</a:t>
                    </a:r>
                    <a:endParaRPr lang="ru-RU" dirty="0"/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900" b="0">
                    <a:latin typeface="PT Sans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сфера услуг</c:v>
                </c:pt>
                <c:pt idx="1">
                  <c:v>офис</c:v>
                </c:pt>
                <c:pt idx="2">
                  <c:v>разл. назначения</c:v>
                </c:pt>
                <c:pt idx="3">
                  <c:v>торговля</c:v>
                </c:pt>
                <c:pt idx="4">
                  <c:v>производство, склад</c:v>
                </c:pt>
                <c:pt idx="5">
                  <c:v>земля</c:v>
                </c:pt>
                <c:pt idx="6">
                  <c:v>здания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0.2624641833810894</c:v>
                </c:pt>
                <c:pt idx="1">
                  <c:v>0.26762177650429797</c:v>
                </c:pt>
                <c:pt idx="2">
                  <c:v>0.3106017191977084</c:v>
                </c:pt>
                <c:pt idx="3">
                  <c:v>6.131805157593135E-2</c:v>
                </c:pt>
                <c:pt idx="4">
                  <c:v>7.6790830945558886E-2</c:v>
                </c:pt>
                <c:pt idx="5">
                  <c:v>9.7421203438395436E-3</c:v>
                </c:pt>
                <c:pt idx="6">
                  <c:v>1.1461318051575941E-2</c:v>
                </c:pt>
              </c:numCache>
            </c:numRef>
          </c:val>
        </c:ser>
        <c:gapWidth val="150"/>
        <c:secondPieSize val="75"/>
        <c:serLines/>
      </c:ofPieChart>
      <c:spPr>
        <a:noFill/>
      </c:spPr>
    </c:plotArea>
    <c:plotVisOnly val="1"/>
    <c:dispBlanksAs val="zero"/>
  </c:chart>
  <c:txPr>
    <a:bodyPr/>
    <a:lstStyle/>
    <a:p>
      <a:pPr>
        <a:defRPr sz="1000"/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32311524089479382"/>
          <c:y val="3.4135992058230202E-2"/>
          <c:w val="0.60613576316393492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6.6240120436582617E-2</c:v>
                </c:pt>
                <c:pt idx="1">
                  <c:v>7.3391042529168254E-2</c:v>
                </c:pt>
                <c:pt idx="2">
                  <c:v>9.6725630410237226E-2</c:v>
                </c:pt>
                <c:pt idx="3">
                  <c:v>3.7260067745577802E-2</c:v>
                </c:pt>
                <c:pt idx="4">
                  <c:v>4.1023710952201878E-2</c:v>
                </c:pt>
                <c:pt idx="5">
                  <c:v>3.6507339104252932E-2</c:v>
                </c:pt>
                <c:pt idx="6">
                  <c:v>3.8765525028227332E-2</c:v>
                </c:pt>
                <c:pt idx="7">
                  <c:v>8.6187429431690027E-2</c:v>
                </c:pt>
                <c:pt idx="8">
                  <c:v>5.4572826496048193E-2</c:v>
                </c:pt>
                <c:pt idx="9">
                  <c:v>7.2638313887843434E-2</c:v>
                </c:pt>
                <c:pt idx="10">
                  <c:v>0.13887843432442643</c:v>
                </c:pt>
                <c:pt idx="11">
                  <c:v>5.6831012420022579E-2</c:v>
                </c:pt>
                <c:pt idx="12">
                  <c:v>0.20097854723372222</c:v>
                </c:pt>
              </c:numCache>
            </c:numRef>
          </c:val>
        </c:ser>
        <c:dLbls>
          <c:showVal val="1"/>
        </c:dLbls>
        <c:gapWidth val="75"/>
        <c:axId val="41215872"/>
        <c:axId val="41217408"/>
      </c:barChart>
      <c:catAx>
        <c:axId val="412158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217408"/>
        <c:crosses val="autoZero"/>
        <c:auto val="1"/>
        <c:lblAlgn val="ctr"/>
        <c:lblOffset val="100"/>
      </c:catAx>
      <c:valAx>
        <c:axId val="41217408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215872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32311524089479382"/>
          <c:y val="3.4135992058230202E-2"/>
          <c:w val="0.60613576316393492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0.11538461538461539</c:v>
                </c:pt>
                <c:pt idx="1">
                  <c:v>8.6057692307692765E-2</c:v>
                </c:pt>
                <c:pt idx="2">
                  <c:v>9.230769230769259E-2</c:v>
                </c:pt>
                <c:pt idx="3">
                  <c:v>2.7884615384615494E-2</c:v>
                </c:pt>
                <c:pt idx="4">
                  <c:v>4.8076923076923114E-2</c:v>
                </c:pt>
                <c:pt idx="5">
                  <c:v>3.5096153846153846E-2</c:v>
                </c:pt>
                <c:pt idx="6">
                  <c:v>4.8076923076923114E-3</c:v>
                </c:pt>
                <c:pt idx="7">
                  <c:v>0.10096153846153866</c:v>
                </c:pt>
                <c:pt idx="8">
                  <c:v>3.557692307692318E-2</c:v>
                </c:pt>
                <c:pt idx="9">
                  <c:v>9.7115384615384479E-2</c:v>
                </c:pt>
                <c:pt idx="10">
                  <c:v>6.1057692307692313E-2</c:v>
                </c:pt>
                <c:pt idx="11">
                  <c:v>1.7788461538461541E-2</c:v>
                </c:pt>
                <c:pt idx="12">
                  <c:v>0.27788461538461728</c:v>
                </c:pt>
              </c:numCache>
            </c:numRef>
          </c:val>
        </c:ser>
        <c:dLbls>
          <c:showVal val="1"/>
        </c:dLbls>
        <c:gapWidth val="75"/>
        <c:axId val="41290368"/>
        <c:axId val="41296256"/>
      </c:barChart>
      <c:catAx>
        <c:axId val="4129036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296256"/>
        <c:crosses val="autoZero"/>
        <c:auto val="1"/>
        <c:lblAlgn val="ctr"/>
        <c:lblOffset val="100"/>
      </c:catAx>
      <c:valAx>
        <c:axId val="41296256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290368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32311524089479382"/>
          <c:y val="3.4135992058230202E-2"/>
          <c:w val="0.60613576316393492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6.5768194070080874E-2</c:v>
                </c:pt>
                <c:pt idx="1">
                  <c:v>5.0673854447439354E-2</c:v>
                </c:pt>
                <c:pt idx="2">
                  <c:v>9.703504043126715E-2</c:v>
                </c:pt>
                <c:pt idx="3">
                  <c:v>4.9595687331536652E-2</c:v>
                </c:pt>
                <c:pt idx="4">
                  <c:v>3.2345013477089034E-2</c:v>
                </c:pt>
                <c:pt idx="5">
                  <c:v>5.4986522911051411E-2</c:v>
                </c:pt>
                <c:pt idx="6">
                  <c:v>4.7439353099730464E-2</c:v>
                </c:pt>
                <c:pt idx="7">
                  <c:v>9.8113207547169817E-2</c:v>
                </c:pt>
                <c:pt idx="8">
                  <c:v>6.9541778975741333E-2</c:v>
                </c:pt>
                <c:pt idx="9">
                  <c:v>5.3908355795148251E-2</c:v>
                </c:pt>
                <c:pt idx="10">
                  <c:v>0.13746630727762849</c:v>
                </c:pt>
                <c:pt idx="11">
                  <c:v>4.4743935309973122E-2</c:v>
                </c:pt>
                <c:pt idx="12">
                  <c:v>0.19838274932614555</c:v>
                </c:pt>
              </c:numCache>
            </c:numRef>
          </c:val>
        </c:ser>
        <c:dLbls>
          <c:showVal val="1"/>
        </c:dLbls>
        <c:gapWidth val="75"/>
        <c:axId val="41303424"/>
        <c:axId val="43779200"/>
      </c:barChart>
      <c:catAx>
        <c:axId val="4130342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779200"/>
        <c:crosses val="autoZero"/>
        <c:auto val="1"/>
        <c:lblAlgn val="ctr"/>
        <c:lblOffset val="100"/>
      </c:catAx>
      <c:valAx>
        <c:axId val="43779200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1303424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32311524089479382"/>
          <c:y val="3.4135992058230202E-2"/>
          <c:w val="0.60613576316393492"/>
          <c:h val="0.8622098874622586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Адмиралтейский</c:v>
                </c:pt>
                <c:pt idx="1">
                  <c:v>Василеостровский</c:v>
                </c:pt>
                <c:pt idx="2">
                  <c:v>Выборгский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Красногвардейский</c:v>
                </c:pt>
                <c:pt idx="6">
                  <c:v>Красносельский</c:v>
                </c:pt>
                <c:pt idx="7">
                  <c:v>Московский</c:v>
                </c:pt>
                <c:pt idx="8">
                  <c:v>Невский</c:v>
                </c:pt>
                <c:pt idx="9">
                  <c:v>Петроградский</c:v>
                </c:pt>
                <c:pt idx="10">
                  <c:v>Приморский</c:v>
                </c:pt>
                <c:pt idx="11">
                  <c:v>Фрунзенский</c:v>
                </c:pt>
                <c:pt idx="12">
                  <c:v>Центральный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5.1526717557251911E-2</c:v>
                </c:pt>
                <c:pt idx="1">
                  <c:v>6.1068702290076327E-2</c:v>
                </c:pt>
                <c:pt idx="2">
                  <c:v>0.11450381679389297</c:v>
                </c:pt>
                <c:pt idx="3">
                  <c:v>5.1526717557251911E-2</c:v>
                </c:pt>
                <c:pt idx="4">
                  <c:v>2.4809160305343567E-2</c:v>
                </c:pt>
                <c:pt idx="5">
                  <c:v>5.7251908396946563E-2</c:v>
                </c:pt>
                <c:pt idx="6">
                  <c:v>9.5419847328244295E-2</c:v>
                </c:pt>
                <c:pt idx="7">
                  <c:v>0.15076335877862637</c:v>
                </c:pt>
                <c:pt idx="8">
                  <c:v>7.8244274809160311E-2</c:v>
                </c:pt>
                <c:pt idx="9">
                  <c:v>3.053435114503817E-2</c:v>
                </c:pt>
                <c:pt idx="10">
                  <c:v>7.8244274809160311E-2</c:v>
                </c:pt>
                <c:pt idx="11">
                  <c:v>6.6793893129770993E-2</c:v>
                </c:pt>
                <c:pt idx="12">
                  <c:v>0.13931297709923671</c:v>
                </c:pt>
              </c:numCache>
            </c:numRef>
          </c:val>
        </c:ser>
        <c:dLbls>
          <c:showVal val="1"/>
        </c:dLbls>
        <c:gapWidth val="75"/>
        <c:axId val="43794816"/>
        <c:axId val="43796352"/>
      </c:barChart>
      <c:catAx>
        <c:axId val="43794816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796352"/>
        <c:crosses val="autoZero"/>
        <c:auto val="1"/>
        <c:lblAlgn val="ctr"/>
        <c:lblOffset val="100"/>
      </c:catAx>
      <c:valAx>
        <c:axId val="43796352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794816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7674228221472321"/>
          <c:y val="3.4135992058230202E-2"/>
          <c:w val="0.75250874890638664"/>
          <c:h val="0.7468948003121234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&lt;20</c:v>
                </c:pt>
                <c:pt idx="1">
                  <c:v>20-59</c:v>
                </c:pt>
                <c:pt idx="2">
                  <c:v>60-99</c:v>
                </c:pt>
                <c:pt idx="3">
                  <c:v>100-139</c:v>
                </c:pt>
                <c:pt idx="4">
                  <c:v>140-179</c:v>
                </c:pt>
                <c:pt idx="5">
                  <c:v>180-219</c:v>
                </c:pt>
                <c:pt idx="6">
                  <c:v>220-260</c:v>
                </c:pt>
                <c:pt idx="7">
                  <c:v>&gt;260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3.5769828926905146E-2</c:v>
                </c:pt>
                <c:pt idx="1">
                  <c:v>0.27112493519958614</c:v>
                </c:pt>
                <c:pt idx="2">
                  <c:v>0.21669258683255574</c:v>
                </c:pt>
                <c:pt idx="3">
                  <c:v>0.14722654224987039</c:v>
                </c:pt>
                <c:pt idx="4">
                  <c:v>0.11145671332296508</c:v>
                </c:pt>
                <c:pt idx="5">
                  <c:v>5.1321928460342149E-2</c:v>
                </c:pt>
                <c:pt idx="6">
                  <c:v>4.9248315189217205E-2</c:v>
                </c:pt>
                <c:pt idx="7">
                  <c:v>0.11715914981855886</c:v>
                </c:pt>
              </c:numCache>
            </c:numRef>
          </c:val>
        </c:ser>
        <c:dLbls>
          <c:showVal val="1"/>
        </c:dLbls>
        <c:gapWidth val="75"/>
        <c:axId val="43873408"/>
        <c:axId val="43874944"/>
      </c:barChart>
      <c:catAx>
        <c:axId val="4387340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874944"/>
        <c:crosses val="autoZero"/>
        <c:auto val="1"/>
        <c:lblAlgn val="ctr"/>
        <c:lblOffset val="100"/>
      </c:catAx>
      <c:valAx>
        <c:axId val="43874944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873408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8099580366825407"/>
          <c:y val="3.4135992058230202E-2"/>
          <c:w val="0.74825530042277666"/>
          <c:h val="0.7552581863095991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&lt;20</c:v>
                </c:pt>
                <c:pt idx="1">
                  <c:v>20-59</c:v>
                </c:pt>
                <c:pt idx="2">
                  <c:v>60-99</c:v>
                </c:pt>
                <c:pt idx="3">
                  <c:v>100-139</c:v>
                </c:pt>
                <c:pt idx="4">
                  <c:v>140-179</c:v>
                </c:pt>
                <c:pt idx="5">
                  <c:v>180-219</c:v>
                </c:pt>
                <c:pt idx="6">
                  <c:v>220-260</c:v>
                </c:pt>
                <c:pt idx="7">
                  <c:v>&gt;260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9.4050991501416756E-2</c:v>
                </c:pt>
                <c:pt idx="1">
                  <c:v>0.32804532577903744</c:v>
                </c:pt>
                <c:pt idx="2">
                  <c:v>0.19773371104815865</c:v>
                </c:pt>
                <c:pt idx="3">
                  <c:v>0.12804532577903691</c:v>
                </c:pt>
                <c:pt idx="4">
                  <c:v>7.3087818696883855E-2</c:v>
                </c:pt>
                <c:pt idx="5">
                  <c:v>5.0424929178470274E-2</c:v>
                </c:pt>
                <c:pt idx="6">
                  <c:v>4.1359773371104767E-2</c:v>
                </c:pt>
                <c:pt idx="7">
                  <c:v>8.7252124645892368E-2</c:v>
                </c:pt>
              </c:numCache>
            </c:numRef>
          </c:val>
        </c:ser>
        <c:dLbls>
          <c:showVal val="1"/>
        </c:dLbls>
        <c:gapWidth val="75"/>
        <c:axId val="43898752"/>
        <c:axId val="43900288"/>
      </c:barChart>
      <c:catAx>
        <c:axId val="4389875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900288"/>
        <c:crosses val="autoZero"/>
        <c:auto val="1"/>
        <c:lblAlgn val="ctr"/>
        <c:lblOffset val="100"/>
      </c:catAx>
      <c:valAx>
        <c:axId val="43900288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898752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plotArea>
      <c:layout>
        <c:manualLayout>
          <c:layoutTarget val="inner"/>
          <c:xMode val="edge"/>
          <c:yMode val="edge"/>
          <c:x val="0.17230724100663891"/>
          <c:y val="3.4135992058230202E-2"/>
          <c:w val="0.75694364675003878"/>
          <c:h val="0.775632051229198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Июнь 2014</c:v>
                </c:pt>
              </c:strCache>
            </c:strRef>
          </c:tx>
          <c:spPr>
            <a:solidFill>
              <a:srgbClr val="B9553B"/>
            </a:solidFill>
          </c:spPr>
          <c:dLbls>
            <c:delete val="1"/>
          </c:dLbls>
          <c:cat>
            <c:strRef>
              <c:f>Лист1!$A$2:$A$9</c:f>
              <c:strCache>
                <c:ptCount val="8"/>
                <c:pt idx="0">
                  <c:v>&lt;20</c:v>
                </c:pt>
                <c:pt idx="1">
                  <c:v>20-59</c:v>
                </c:pt>
                <c:pt idx="2">
                  <c:v>60-99</c:v>
                </c:pt>
                <c:pt idx="3">
                  <c:v>100-139</c:v>
                </c:pt>
                <c:pt idx="4">
                  <c:v>140-179</c:v>
                </c:pt>
                <c:pt idx="5">
                  <c:v>180-219</c:v>
                </c:pt>
                <c:pt idx="6">
                  <c:v>220-260</c:v>
                </c:pt>
                <c:pt idx="7">
                  <c:v>&gt;260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8.0476900149031291E-2</c:v>
                </c:pt>
                <c:pt idx="1">
                  <c:v>0.20640834575260864</c:v>
                </c:pt>
                <c:pt idx="2">
                  <c:v>0.20193740685544034</c:v>
                </c:pt>
                <c:pt idx="3">
                  <c:v>0.16467958271236971</c:v>
                </c:pt>
                <c:pt idx="4">
                  <c:v>8.7183308494783923E-2</c:v>
                </c:pt>
                <c:pt idx="5">
                  <c:v>6.259314456035768E-2</c:v>
                </c:pt>
                <c:pt idx="6">
                  <c:v>6.5573770491803282E-2</c:v>
                </c:pt>
                <c:pt idx="7">
                  <c:v>0.13114754098360637</c:v>
                </c:pt>
              </c:numCache>
            </c:numRef>
          </c:val>
        </c:ser>
        <c:dLbls>
          <c:showVal val="1"/>
        </c:dLbls>
        <c:gapWidth val="75"/>
        <c:axId val="43960960"/>
        <c:axId val="43975040"/>
      </c:barChart>
      <c:catAx>
        <c:axId val="439609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975040"/>
        <c:crosses val="autoZero"/>
        <c:auto val="1"/>
        <c:lblAlgn val="ctr"/>
        <c:lblOffset val="100"/>
      </c:catAx>
      <c:valAx>
        <c:axId val="43975040"/>
        <c:scaling>
          <c:orientation val="minMax"/>
        </c:scaling>
        <c:axPos val="b"/>
        <c:numFmt formatCode="0%" sourceLinked="0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43960960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txPr>
    <a:bodyPr/>
    <a:lstStyle/>
    <a:p>
      <a:pPr>
        <a:defRPr sz="800">
          <a:latin typeface="PT Sans"/>
        </a:defRPr>
      </a:pPr>
      <a:endParaRPr lang="ru-RU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0.90726</cdr:y>
    </cdr:from>
    <cdr:to>
      <cdr:x>0.19894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66675" y="1933575"/>
          <a:ext cx="1223962" cy="1925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0.90164</cdr:y>
    </cdr:from>
    <cdr:to>
      <cdr:x>0.46221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571625"/>
          <a:ext cx="1514474" cy="1714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38100" y="1447800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</cdr:x>
      <cdr:y>0.86171</cdr:y>
    </cdr:from>
    <cdr:to>
      <cdr:x>0.41673</cdr:x>
      <cdr:y>1</cdr:y>
    </cdr:to>
    <cdr:pic>
      <cdr:nvPicPr>
        <cdr:cNvPr id="3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133350" y="1647825"/>
          <a:ext cx="1260323" cy="219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0.88385</cdr:y>
    </cdr:from>
    <cdr:to>
      <cdr:x>0.43462</cdr:x>
      <cdr:y>0.99809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400175"/>
          <a:ext cx="1314450" cy="180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153670" y="1581150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457325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0.0189</cdr:x>
      <cdr:y>0.88275</cdr:y>
    </cdr:from>
    <cdr:to>
      <cdr:x>0.4236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7150" y="1495425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0.0189</cdr:x>
      <cdr:y>0.88275</cdr:y>
    </cdr:from>
    <cdr:to>
      <cdr:x>0.4236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7150" y="1533525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</cdr:x>
      <cdr:y>0.88275</cdr:y>
    </cdr:from>
    <cdr:to>
      <cdr:x>0.4047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533525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0.79764</cdr:x>
      <cdr:y>0.90787</cdr:y>
    </cdr:from>
    <cdr:to>
      <cdr:x>1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928553" y="1830388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0.90789</cdr:y>
    </cdr:from>
    <cdr:to>
      <cdr:x>0.38637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209550" y="1914525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0.90789</cdr:y>
    </cdr:from>
    <cdr:to>
      <cdr:x>0.38637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2133600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0.90789</cdr:y>
    </cdr:from>
    <cdr:to>
      <cdr:x>0.38637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190500" y="1952625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0.90789</cdr:y>
    </cdr:from>
    <cdr:to>
      <cdr:x>0.38637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2016760"/>
          <a:ext cx="1223962" cy="1857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0.89459</cdr:y>
    </cdr:from>
    <cdr:to>
      <cdr:x>0.38244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76200" y="1647825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0.89572</cdr:y>
    </cdr:from>
    <cdr:to>
      <cdr:x>0.38473</cdr:x>
      <cdr:y>1</cdr:y>
    </cdr:to>
    <cdr:pic>
      <cdr:nvPicPr>
        <cdr:cNvPr id="2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-266700" y="1695450"/>
          <a:ext cx="1223962" cy="18573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0.90052</cdr:y>
    </cdr:from>
    <cdr:to>
      <cdr:x>0.43529</cdr:x>
      <cdr:y>1</cdr:y>
    </cdr:to>
    <cdr:pic>
      <cdr:nvPicPr>
        <cdr:cNvPr id="4" name="Picture 7" descr="C:\Users\Chigkova\Desktop\копирайт_аналитика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1638299"/>
          <a:ext cx="1409700" cy="1809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6655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mailto:analitika@bn.ru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mbent</cp:lastModifiedBy>
  <cp:revision>3</cp:revision>
  <dcterms:created xsi:type="dcterms:W3CDTF">2015-01-13T11:37:00Z</dcterms:created>
  <dcterms:modified xsi:type="dcterms:W3CDTF">2015-01-13T11:47:00Z</dcterms:modified>
</cp:coreProperties>
</file>